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Julgado em: </w:t>
      </w:r>
      <w:r>
        <w:t xml:space="preserve">02/12/1985</w:t>
      </w:r>
    </w:p>
    <w:p/>
    <w:p>
      <w:r>
        <w:t xml:space="preserve">ACIDENTE COM ALUNO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responsabilidade da ré pelos danos sofridos pelo autor no interior do estabelecimento de ensino de sua propriedade é inquestionável. - A impugnação do recurso, a rigor se prende à existência do dano, que o Apelante pretende não tenha resultado do acidente. A prova pericial, contudo, afirma a existência de tal dano ao assinalar deficiência cerebral moderada decorrente de traumatismo crânio-encefálico. Os eletroencefalogramas registraram anormalidades. - Nega-se, pois, provimento ao recurso. Julgado em 03-12-1985 Arquivo do Ementário Forense, TJ/1.462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responsável o estabelecimento do ensino por acidente ocorrido com aluno durante o horário escolar.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2026-10-26T04:35:58.271Z</dcterms:created>
  <dcterms:modified xsi:type="dcterms:W3CDTF">2026-10-26T04:35:58.271Z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