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Julgado em: </w:t>
      </w:r>
      <w:r>
        <w:t xml:space="preserve">22/10/1985</w:t>
      </w:r>
    </w:p>
    <w:p/>
    <w:p>
      <w:r>
        <w:t xml:space="preserve">EMISSÃO EM GARANTIA DE DÍVIDA — PÓS-DATA - SE PERDE A EXECUTIVIDADE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que se admita tenha sido o cheque exeqüendo emitido como garantia de dívida para pagamento futuro, nem assim perde ele a sua força executiva. - Tranqüila é a jurisprudência dos nossos tribunais no sentido de que a pos-datação não desnatura o cheque como ordem de pagamento à vista. - Subsiste a eficácia cambiária do cheque mesmo quando em branco a data e o nome do beneficiário, já que o portador de boa-fé de título de crédito possui mandato tácito do emitente para completar os claros acima indicados, antes da sua apresentação. - Induvidosa pois a força executiva do cheque pós-datado enquanto não prescrito. - Merece assim reforma a sentença que acolheu os embargos opostos à execução sob o fundamento de que o cheque em apreço perdera sua força cambiária, por ter sido dado em garantia. Julgado em 23-10-1985 Arquivo do Ementário Forense, TA/682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perde a executividade o cheque emitido em garantia de dívida, porquanto o portador de boa-fé de título de crédito possui mandato tácito do emitente para seu preenchimento, com relação a indicação do favorecido e data da emissão, desde que o faça antes da apresentação, do protesto ou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2026-10-26T03:08:12.097Z</dcterms:created>
  <dcterms:modified xsi:type="dcterms:W3CDTF">2026-10-26T03:08:12.097Z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