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</w:t>
      </w:r>
    </w:p>
    <w:p>
      <w:r>
        <w:rPr>
          <w:i/>
          <w:iCs/>
          <w:color w:val="666666"/>
        </w:rPr>
        <w:t xml:space="preserve">CONTRIBUINTE QUE SE DECLARA DEVEDOR</w:t>
      </w:r>
    </w:p>
    <w:p/>
    <w:p/>
    <w:p>
      <w:r>
        <w:t xml:space="preserve">SE CABE EXECUÇÃO POR QUANTIA CERTA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Razoável, é o entendimento de que o equivalente em dinheiro é o exato correspectivo do valor pecuniário da coisa, sem contar portanto com os acréscimos e cominações que possam advir do descumprimento do contrato, e que terá outra sede normativa que que não à do prequestionado art. 904, do Código de Processo Civil. - Basta ver, em favor da razoabilidade da tese do acórdão recorrido, que da petição inicial da ação de depósito, deve constar, além da óbvia referência à coisa reclamada, a estimativa do valor da coisa, se não já constar do contrato, e outra razão aí não há senão porque a citação se faz para no prazo de cinco dias entregar-se a coisa, depositar-se em juízo ou consignar-lhe o equivalente em dinheiro, que o próprio acórdão teve em conta, foi aquele que o próprio autor indicara na inicial da ação. - Pelos elementos apontados, é de todo inacolhível queira a Agravante, em recurso extraordinário que vem exclusivamente pela letra a do permissivo constituicional, considerar violado o art. 904 do Cód. Processo Civil. - Nego pois, provimento ao agravo. Julgado em 27- 03-1984 Revista Trimestral de Jurisprudência, Setembro de 1984 - Vol. 109 - Pág. 1.108 EMFOR 436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Julgada procedente a ação de depósito, e cumprido pelo réu, o mandado pela entrega do equivalente em dinheiro, descabe o prosseguimento em termos de execução por quantia certa.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2026-07-28T02:34:51.236Z</dcterms:created>
  <dcterms:modified xsi:type="dcterms:W3CDTF">2026-07-28T02:34:51.236Z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