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Ap. 2.422</w:t>
      </w:r>
    </w:p>
    <w:p>
      <w:r>
        <w:rPr>
          <w:b/>
          <w:bCs/>
        </w:rPr>
        <w:t xml:space="preserve">Julgado em: </w:t>
      </w:r>
      <w:r>
        <w:t xml:space="preserve">13/05/1984</w:t>
      </w:r>
    </w:p>
    <w:p/>
    <w:p>
      <w:r>
        <w:t xml:space="preserve">REGISTRO DO TÍTULO —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magistério de CELSO ANTÔNIO B. DE MELLO, " dizer-se que a desapropriação significa que ela é, por si mesma, suficiente para instaurar a propriedade em favor do Poder Público, independentemente de qualquer vinculação com o título jurídico do anterior proprietário. É a só vontade do Poder Público e o pagamento do preço que constituem a propriedade do Poder Público sobre o bem expropriado " (" Elementos de Dir. Administrativo ", ed. RT 1983, p. 190). - No mesmo sentido a lição do sempre lembrado AFRÂNIO DE CARVALHO, quando assevera que " a desapropriação oferece a peculiaridade registral de dispensar o registro do título anterior, por se entender que é um modo originário de aquisição da propriedade, em virtude do qual o Estado chama a si o imóvel diretamente, livre de qualquer ônus. Se o registro existir a desapropriação será inscrita na folha do imóvel desapropriado para assinalar a perda da propriedade do titular ali nomeado " (" Registro de Imóveis ", ed. Forense, 1977, p. 87). - A jurisprudência recente deste Conselho tem sufragado os ensinamentos supracolacionados, o que se verifica nas Ap. 2.422 - 0 e 2.648 - 0, ambas relatadas pelo Des. AFONSO ANDRÉ, e datadas de 5-7-83 e 17-10-83. Julgado em 14-05-1984 Revista dos Tribunais. Outubro, 1984 - Vol. 588 - Pág. 94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oferece a peculiaridade de dispensar o registro do título anterior, por se entender que é modo originário de aquisição da propriedade, em virtude do qual o Estado chama a si o imóvel diretamente, livre de qualquer ônus.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2026-10-26T04:35:39.104Z</dcterms:created>
  <dcterms:modified xsi:type="dcterms:W3CDTF">2026-10-26T04:35:39.104Z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