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Ap. 2.422</w:t>
      </w:r>
    </w:p>
    <w:p>
      <w:r>
        <w:rPr>
          <w:b/>
          <w:bCs/>
        </w:rPr>
        <w:t xml:space="preserve">Julgado em: </w:t>
      </w:r>
      <w:r>
        <w:t xml:space="preserve">13/05/1984</w:t>
      </w:r>
    </w:p>
    <w:p/>
    <w:p>
      <w:r>
        <w:t xml:space="preserve">REGISTRO DO TÍTULO —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o magistério de CELSO ANTÔNIO B. DE MELLO, " dizer-se que a desapropriação significa que ela é, por si mesma, suficiente para instaurar a propriedade em favor do Poder Público, independentemente de qualquer vinculação com o título jurídico do anterior proprietário. É a só vontade do Poder Público e o pagamento do preço que constituem a propriedade do Poder Público sobre o bem expropriado " (" Elementos de Dir. Administrativo ", ed. RT 1983, p. 190). - No mesmo sentido a lição do sempre lembrado AFRÂNIO DE CARVALHO, quando assevera que " a desapropriação oferece a peculiaridade registral de dispensar o registro do título anterior, por se entender que é um modo originário de aquisição da propriedade, em virtude do qual o Estado chama a si o imóvel diretamente, livre de qualquer ônus. Se o registro existir a desapropriação será inscrita na folha do imóvel desapropriado para assinalar a perda da propriedade do titular ali nomeado " (" Registro de Imóveis ", ed. Forense, 1977, p. 87). - A jurisprudência recente deste Conselho tem sufragado os ensinamentos supracolacionados, o que se verifica nas Ap. 2.422 - 0 e 2.648 - 0, ambas relatadas pelo Des. AFONSO ANDRÉ, e datadas de 5-7-83 e 17-10-83. Julgado em 14-05-1984 Revista dos Tribunais. Outubro, 1984 - Vol. 588 - Pág. 94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desapropriação oferece a peculiaridade de dispensar o registro do título anterior, por se entender que é modo originário de aquisição da propriedade, em virtude do qual o Estado chama a si o imóvel diretamente, livre de qualquer ônus.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2026-07-27T23:46:52.517Z</dcterms:created>
  <dcterms:modified xsi:type="dcterms:W3CDTF">2026-07-27T23:46:52.517Z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