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02/05/1984</w:t>
      </w:r>
    </w:p>
    <w:p/>
    <w:p>
      <w:r>
        <w:t xml:space="preserve">LEGITIMAÇÃO PARA RECEBER OS DEFERIDOS PELA SENTENÇA AO SEU CONSTITUINTE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cobrar honorários objeto de condenação imposta à parte adversa tem o advogado legitimação especial, outorgado pelo art. 97 § 1º da Lei nº 4.215 de 1963, o que não significa que tais honorários não pertencem, em princípio, ao cliente vencedor, tanto que o advogado deve prestar contas deles ao cliente, repassando-os a este se já houver recebido integralmente os honorários pactuados. Trata-se de um caso da impropriamente chamada substituição processual, interpretação que afasta a aparente incongruência entre o citado dispositivo do Estado da Ordem dos Advogados do Brasil e o art. 20, do CPC. A cobrança pode ser efetivada através de simples execução da condenação, mas nada impede que seja feita perante outro juízo em processo de conhecimento, fundado no próprio título que autorizaria o procedimento executivo. Julgado em 03-05-1984 Arquivo do Ementário Forense, TA/ 537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advogado tem legitimação para cobrar em nome próprio os honorários deferidos pela sentença ao seu constituinte, sendo ineficaz em relação a ele o acordo celebrado sem sua anuência que possa prejudicar o direito aos honorários, convencionais ou da sucumbência (Lei nº 4.215 de 1963, art. 99 §§ 1º e 2º).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2026-07-27T23:33:23.632Z</dcterms:created>
  <dcterms:modified xsi:type="dcterms:W3CDTF">2026-07-27T23:33:23.632Z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