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02/05/1984</w:t>
      </w:r>
    </w:p>
    <w:p/>
    <w:p>
      <w:r>
        <w:t xml:space="preserve">LEGITIMAÇÃO PARA RECEBER OS DEFERIDOS PELA SENTENÇA AO SEU CONSTITUINTE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cobrar honorários objeto de condenação imposta à parte adversa tem o advogado legitimação especial, outorgado pelo art. 97 § 1º da Lei nº 4.215 de 1963, o que não significa que tais honorários não pertencem, em princípio, ao cliente vencedor, tanto que o advogado deve prestar contas deles ao cliente, repassando-os a este se já houver recebido integralmente os honorários pactuados. Trata-se de um caso da impropriamente chamada substituição processual, interpretação que afasta a aparente incongruência entre o citado dispositivo do Estado da Ordem dos Advogados do Brasil e o art. 20, do CPC. A cobrança pode ser efetivada através de simples execução da condenação, mas nada impede que seja feita perante outro juízo em processo de conhecimento, fundado no próprio título que autorizaria o procedimento executivo. Julgado em 03-05-1984 Arquivo do Ementário Forense, TA/ 537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tem legitimação para cobrar em nome próprio os honorários deferidos pela sentença ao seu constituinte, sendo ineficaz em relação a ele o acordo celebrado sem sua anuência que possa prejudicar o direito aos honorários, convencionais ou da sucumbência (Lei nº 4.215 de 1963, art. 99 §§ 1º e 2º).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2026-10-26T04:13:08.187Z</dcterms:created>
  <dcterms:modified xsi:type="dcterms:W3CDTF">2026-10-26T04:13:08.187Z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