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89.722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01/05/1984</w:t>
      </w:r>
    </w:p>
    <w:p/>
    <w:p>
      <w:r>
        <w:t xml:space="preserve">SE É COMPETENTE PARA JULGAR 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Este o melhor entendimento da regra processual, conforme ensinamento do colendo STF: " Mesmo finda a instrução, o juiz transferido, promovido ou aposentado não fica vinculado ao processo para julgar a causa, eis que o juiz que assumiu a jurisdição pode, se o entender necessário à formação de seu livre convencimento, renovar as provas " ( RE 89.722 - PE, 1ª T. rel. Min. THOMPSON FLORES, "j " . 29-4-80, RTJ 96/776). - A mesma orientação se encontra em outros arestos, de que são exemplos os v. acórdãos em RT 556/102 e Julgados do TACivSP 82/314 e 78/114. Julgado em 02-05-1984 Revista dos Tribunais. Outubro, 1984 - Vol. 588 - Pág. 143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mesmo encerrada a instrução, for o Juiz promovido, perde ele a jurisdição e, se o julga, a respectiva decisão padece de nulidade, outra sentença devendo ser proferida pelo seu sucessor, nos precisos termos do art. 132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2026-07-27T23:34:33.216Z</dcterms:created>
  <dcterms:modified xsi:type="dcterms:W3CDTF">2026-07-27T23:34:33.216Z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