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17/05/1984</w:t>
      </w:r>
    </w:p>
    <w:p/>
    <w:p>
      <w:r>
        <w:t xml:space="preserve">INCLUSÃO DE PARCELA INDEVIDA — SE É NULA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dispositivos legais dados como ofendidos não se acham prequestionados no acórdão impugnado. E os acórdãos paradigmas não são expessos, nos trechos reproduzidos no recurso extraordinário, sobre a impossibilidade de ser reduzida a execução à quantia realmente devida, quando perfeitamente destacável a parcela cobrada indevidamente. É essa a hipótese em tela. Foi ela decidida, ademais, em sintonia com a jurisprudência reiterada e pacífica das duas Turmas do STF e de conformidade com o disposto no art. 153 do Código Civil, " verbis " " a nulidade parcial de um ato não o prejudicará na parte válida, se esta for destacável ". - Nego, pois provimento ao agravo regimental. Julgado em 18-05-1984 Revista Trimestral de Jurisprudência. Novembro 1984 - Vol. 110 - Pág. 718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nula a certidão de dívida ativa que contenha parcela indevida, se esta é perfeitamente destacável.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2026-07-27T23:36:13.729Z</dcterms:created>
  <dcterms:modified xsi:type="dcterms:W3CDTF">2026-07-27T23:36:13.729Z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