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22/09/1983</w:t>
      </w:r>
    </w:p>
    <w:p/>
    <w:p>
      <w:r>
        <w:t xml:space="preserve">INCIDÊNCIA SOBRE A GENERALIDADE DESSAS OPERAÇÕES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Caracteriza-se o tributo, nessa incidência tanto por sua natureza abrangente, quanto por suas anunciadas finalidades, como ônus do mercado financeiro no qual se inserem genericamente as operações de câmbio - O Decreto-lei nº 1.783 de 18-4-80, e bem assim o Decreto-lei nº 1.844 de 30-12-80, prevêm incidência " nas operações de câmbio ", simplesmente sem distinguir as relativas à importação, o que bem revela o não-relacionamento da medida com propósito de criar artificiais condições de concorrência a favor do produtor interno (AG nº 93.314 - 0. AgRg - RJ, 2ª Turma - Sessão de 2-9-83) Julgado em 23-09-1983 Revista Trimestral de Jurisprudência. Agosto de 1984 - Vol. 109 - Pág. 597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operações financeiras não atinge diretamente as operações de câmbio relacionadas com a importação de mercadorias, mas sim a generalidade daquelas operações, qualquer que seja a sua finalidade.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2026-07-28T04:13:06.763Z</dcterms:created>
  <dcterms:modified xsi:type="dcterms:W3CDTF">2026-07-28T04:13:06.763Z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