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23/05/1983</w:t>
      </w:r>
    </w:p>
    <w:p/>
    <w:p>
      <w:r>
        <w:t xml:space="preserve">CIDADE DISTANTE DA SEDE DA COMARCA — QUANDO NÃO PODE A PARTE EXIGIR REEMBOLSO DAS DESPESAS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entre as despesas a serem pagas ao vencedor pelo vencido, nos termos do art. 20, § 2º do CPC, inclui-se a chamada indenização de viagem. Essa indenização, em princípio, diz respeito às viagens , de própria parte ou de seu advogado, que se haja tornado necessárias no curso do processo. - No caso do advogado, a necessidade que justifica o direito de reembolso não se caracteriza evidentemente, quando a parte, existindo na comarca advogados em condições de patrocinar-lhe a causa, prefere constituir causídico de localidade distante que se verá obrigado a frequentes deslocamentos desde sua cidade para acompanhar o tramitamento do feito. Julgado em 24-05-1983 Arquivo do Ementário Forense, TA/ 534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que desnecessariamente constituiu advogado de cidade distante da comarca em que corre a demanda não pode exigir o reembolso das despesas com as viagens realizadas pelo patrono.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2026-10-26T01:56:40.100Z</dcterms:created>
  <dcterms:modified xsi:type="dcterms:W3CDTF">2026-10-26T01:56:40.100Z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