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20/09/1982</w:t>
      </w:r>
    </w:p>
    <w:p/>
    <w:p>
      <w:r>
        <w:t xml:space="preserve">RÉUS COM ADVOGADOS DIFERENTES — NECESSIDADE DA PUBLICAÇÃO DO NOME DE CADA 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verdade que se trata de advogados de dois interessados, com o mesmo escritório. É fora de dúvida, porém, que queiram estes últimos fazer defesas autônomas, tanto que outorgaram procurações diferentes, quando não fosse assim, a procuraçãpo de ambos seria passada aos dois advogados. - ... Na verdade, estamos partindo da presunção de que o advogado de um faria a defesa também do outro. Mera presunção, que, a meu ver, não pode embasar uma decisão mormente ante a cominação expressa de nulidade existente na lei adjetiva. Realmente o Código de Processo exige a publicação da intimação com o nome dos advogados. A exigência é formal, e seu não cumprimento importa em nulidade, como expressamente dispõe o § 1º do art. 234 do Cód. Processo Civil, que não dá margem a dúvidas ao dizer peremptoriamente: "é indispensável, sob pena de nulidade, que da publicação constem os nomes das partes e de seus advogados, suficientes para sua identificação". - Assim sendo, conheço do recurso e lhe dou provimento. Julgado em 21-09-1982 Revista Trimestral de Jurisprudência. Setembro de 1984 - Vol. 109 - Pág. 1.045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um réu, pessoa física, possa deter a quase totalidade das ações do outro réu, pessoa jurídica, se cada um deles constitui advogado diferente, e até em procurações independentes, o nome do patrono de cada um deve ser publicado para intimação da pauta de julgamento, mesmo que se verifique que ambos tinham escritório no mesmo endereço.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2026-07-27T23:38:16.567Z</dcterms:created>
  <dcterms:modified xsi:type="dcterms:W3CDTF">2026-07-27T23:38:16.567Z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