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20/09/1982</w:t>
      </w:r>
    </w:p>
    <w:p/>
    <w:p>
      <w:r>
        <w:t xml:space="preserve">RÉUS COM ADVOGADOS DIFERENTES — NECESSIDADE DA PUBLICAÇÃO DO NOME DE CADA 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que se trata de advogados de dois interessados, com o mesmo escritório. É fora de dúvida, porém, que queiram estes últimos fazer defesas autônomas, tanto que outorgaram procurações diferentes, quando não fosse assim, a procuraçãpo de ambos seria passada aos dois advogados. - ... Na verdade, estamos partindo da presunção de que o advogado de um faria a defesa também do outro. Mera presunção, que, a meu ver, não pode embasar uma decisão mormente ante a cominação expressa de nulidade existente na lei adjetiva. Realmente o Código de Processo exige a publicação da intimação com o nome dos advogados. A exigência é formal, e seu não cumprimento importa em nulidade, como expressamente dispõe o § 1º do art. 234 do Cód. Processo Civil, que não dá margem a dúvidas ao dizer peremptoriamente: "é indispensável, sob pena de nulidade, que da publicação constem os nomes das partes e de seus advogados, suficientes para sua identificação". - Assim sendo, conheço do recurso e lhe dou provimento. Julgado em 21-09-1982 Revista Trimestral de Jurisprudência. Setembro de 1984 - Vol. 109 - Pág. 1.045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um réu, pessoa física, possa deter a quase totalidade das ações do outro réu, pessoa jurídica, se cada um deles constitui advogado diferente, e até em procurações independentes, o nome do patrono de cada um deve ser publicado para intimação da pauta de julgamento, mesmo que se verifique que ambos tinham escritório no mesmo endereço.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2026-10-26T02:08:44.128Z</dcterms:created>
  <dcterms:modified xsi:type="dcterms:W3CDTF">2026-10-26T02:08:44.129Z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