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MS 20.310</w:t>
      </w:r>
    </w:p>
    <w:p>
      <w:r>
        <w:rPr>
          <w:b/>
          <w:bCs/>
        </w:rPr>
        <w:t xml:space="preserve">Julgado em: </w:t>
      </w:r>
      <w:r>
        <w:t xml:space="preserve">20/03/1984</w:t>
      </w:r>
    </w:p>
    <w:p/>
    <w:p>
      <w:r>
        <w:t xml:space="preserve">PRAZO — PUBLICAÇÃO DO ATO NO DIÁRIO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já firmou jurisprudência no sentido de que o prazo de decadência para requerer-se mandado de segurança se conta do dia da publicação, no Diário Oficial, do ato impugnado, não o reabrindo a comunicação pessoal feita, posteriormente, pela autoridade coatora ao impetrante. Essa questão foi enfrentada no MS nº 20.310, de que foi relator o Sr. Ministro SOARES MUÑOZ, e que dizia respeito à decisão do Tribunal de Contas da União. Na ementa desse acórdão se lê: " Mandado de segurança. Decadência. O prazo decadencial para requerer mandado de segurança conta-se a partir do dia da publicação, no Diário Oficial, do ato impugnado. A comunicação pessoal posterior, feita pela autoridade coatora ao impetrante, não reabre aquele prazo, pois é de decadência e, em consequência, fatal e improrrogável quanto ao seu início. Mandado de Segurança de que se não conhece ". - Com base nessa orientação, e tendo em vista que, no caso, fluíram mais de cento e vinte dias entre a data da publicação da decisão impugnada e a em que foi impetrado o mandado de segurança, dele não conheço. Julgado em 21-03-1984 Revista Trimestral de Jurisprudência. Outubro, 1984 - Vol. 110 - Pág. 71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para requerer-se mandado de segurança se conta da publicação do ato impugnado no Diário Ofial, não se reabrindo por comunicação pessoal que, posteriormente, seja feita ao impetrante.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2026-10-26T03:22:24.684Z</dcterms:created>
  <dcterms:modified xsi:type="dcterms:W3CDTF">2026-10-26T03:22:24.684Z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