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26/04/1984</w:t>
      </w:r>
    </w:p>
    <w:p/>
    <w:p>
      <w:r>
        <w:t xml:space="preserve">INTEGRAÇÃO DO SEU PATRIMÔNIO DESDE O MOMENTO DO ÓBITO — RENÚNCIA IMPOSSÍVEL SEM O CONCURSO DO MARIDO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Lei nº 4.121 de 27-8-62, Estatuto da Mulher Casada, revogou-se o inciso IV do art. 242 do Código Civil, na sua anterior redação. - Logo, a herança ou legado passaram a integrar , desde o momento do óbito, o patrimônio da mulher casada, ( e consequentemente, o patrimônio do casal sob regime de comunhão de bens ). - Isso se deu, no caso dos autos, em 1976, já estando em vigor o Estatuto da Mulher Casada, a Lei nº 4.121 de 27-8-62. - Ora, se desde o momento do óbito a herança integrava o patrimônio do casal, não podia a mulher renunciar abdicativamente à dita herança, sem o concurso do marido. Julgado em 27-04-1984 Revista Trimestral de Jurisprudência. Setembro, 1984 - Vol. 109 - Pág. 1.086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revogação da primitiva redação do inciso IV do art. 242 do Cód. Civil, a herança ou o legado passaram a integrar, desde o momento do óbito, o patrimônio da mulher casada,que a ele não podia renunciar sem o concurso do marido.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2026-10-26T03:04:31.645Z</dcterms:created>
  <dcterms:modified xsi:type="dcterms:W3CDTF">2026-10-26T03:04:31.645Z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