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26/04/1984</w:t>
      </w:r>
    </w:p>
    <w:p/>
    <w:p>
      <w:r>
        <w:t xml:space="preserve">INTEGRAÇÃO DO SEU PATRIMÔNIO DESDE O MOMENTO DO ÓBITO — RENÚNCIA IMPOSSÍVEL SEM O CONCURSO DO MARIDO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Lei nº 4.121 de 27-8-62, Estatuto da Mulher Casada, revogou-se o inciso IV do art. 242 do Código Civil, na sua anterior redação. - Logo, a herança ou legado passaram a integrar , desde o momento do óbito, o patrimônio da mulher casada, ( e consequentemente, o patrimônio do casal sob regime de comunhão de bens ). - Isso se deu, no caso dos autos, em 1976, já estando em vigor o Estatuto da Mulher Casada, a Lei nº 4.121 de 27-8-62. - Ora, se desde o momento do óbito a herança integrava o patrimônio do casal, não podia a mulher renunciar abdicativamente à dita herança, sem o concurso do marido. Julgado em 27-04-1984 Revista Trimestral de Jurisprudência. Setembro, 1984 - Vol. 109 - Pág. 1.086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revogação da primitiva redação do inciso IV do art. 242 do Cód. Civil, a herança ou o legado passaram a integrar, desde o momento do óbito, o patrimônio da mulher casada,que a ele não podia renunciar sem o concurso do marido.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2026-07-27T23:32:08.734Z</dcterms:created>
  <dcterms:modified xsi:type="dcterms:W3CDTF">2026-07-27T23:32:08.734Z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