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94.288</w:t>
      </w:r>
    </w:p>
    <w:p>
      <w:r>
        <w:rPr>
          <w:b/>
          <w:bCs/>
        </w:rPr>
        <w:t xml:space="preserve">Julgado em: </w:t>
      </w:r>
      <w:r>
        <w:t xml:space="preserve">26/04/1984</w:t>
      </w:r>
    </w:p>
    <w:p/>
    <w:p>
      <w:r>
        <w:t xml:space="preserve">REGULAMENTAÇÃO DEFINITIVA — MODIFICAÇÃO POSTERIOR - OFENSA A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não é nova neste Tribunal. Discutiu-a o Plenário no julgamento do RE nº 94.288 - RJ, chegando à conclusão expressa nesta ementa: " Previdência Social : Seguros de acidente de trabalho. Tarifação individual. Lei nova ( inaplicação ). Direito adquirido. A fixação de tarifa individual, em caráter definitivo, com vigência determinada, é representativa de um ato administrativo perfeito e eficaz, em conformidade com a legislação contemporânea , não podendo a lei nova afetar a situação jurídica assim definida, por constituir um direito adquirido. Recurso Extraordinário conhecido e provido". (RTJ 104/ 1.142). Julgado em 27-04-1984 Revista Trimestral de Jurisprudência. Setembro, 1984 - Vol. 109 - Pág. 1.170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tarifa singular relativa ao seguro de acidentes do trabalho estabelecida pela Lei nº 5.316/67 e regulamentada pelo Dec. nº 61.784 em caráter definitivo com vigência determinada constitui situação jurídica advinda de ato administrativo perfeito e eficaz, não podendo a legislação posterior, no caso a Lei 6.367 de 1967 afetar aquela situação, por constituir-se em direito adquirido. ( Ementa do EMENTÁRIO FORENSE 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2026-07-27T23:30:05.127Z</dcterms:created>
  <dcterms:modified xsi:type="dcterms:W3CDTF">2026-07-27T23:30:05.127Z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