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21/11/1983</w:t>
      </w:r>
    </w:p>
    <w:p/>
    <w:p>
      <w:r>
        <w:t xml:space="preserve">EM QUE DATA DEVE SER CONSIDERADO PARA FINS DO REGIMENTO INTERNO DO STF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embargos do devedor se constituem em ação de oposição a execução. Versam " sobre pretensão resistida decorrente de incerteza no plano do juízo " ( "Comentários CELSO NEVES" , Forense vol. VII, pág. 196 ). - Trata-se de " ação incidental de conhecimento que tem por pressuposto execução iniciada... " ( idem, pág. 195 ); e como relembrou NELSON G. B. DOWER, " os embargos do devedor, única forma de defesa normal contra qualquer das três execuções clássicas, não constituem contestação, mas sim uma ação dentro do próprio processo de execução " ( " Curso Moderno de Direito Processual ", 3º vol., pág. 234 ). É de MOACYR AMARAL SANTOS, no seu " Direito Processual Civil ", ainda na vigência do Código de 1939: " Conforme a doutrina dominante, a defesa do executado, feita através dos embargos, é ação, pela qual ele formula uma pretensão consistente na anulação do processo de execução ou no desfazimento da eficácia do título executório. Trata-se portanto, de uma ação constitutiva, visto que visa à desconstituição da relação processual executória ou da eficácia do título executório " (pág. 362). Julgado em 22-11-1983 Revista Trimestral de Jurisprudência. Novembro, 1984 - Vol. 110 - Pág. 793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Constituindo-se os embargos do devedor uma ação de oposição a execução, o valor da causa deve ser considerado à vista da data do seu ajuizamento, para fins do art. 325, VIII do RI / STF. E sendo ele inferior à alçada regimental para fins de conhecimento preliminar do extraordinário, este não pode prosperar, inexistindo qualquer das ressalvas previstas no " caput " daquele mesmo art. 325.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2026-10-26T01:59:44.383Z</dcterms:created>
  <dcterms:modified xsi:type="dcterms:W3CDTF">2026-10-26T01:59:44.383Z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