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26/09/1983</w:t>
      </w:r>
    </w:p>
    <w:p/>
    <w:p>
      <w:r>
        <w:t xml:space="preserve">SE O SEU PERCENTUAL INCIDE SOBRE A INDENIZAÇÃO PELO ROMPIMENTO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Ao ensejo do julgamento do Agr. Instr. nº 2.813 de que foi relator o eminente Des. AMARO MARTINS DE ALMEIDA, aqui se decidiu unanimemente, como constou da ementa: "Pensão alimentícia. Acordada em desquite, consensual, em fração ou percentual dos ganhos líquidos do obrigado, a pensão incide sobre os salários, e também sobre o FGTS ou eventual indenização trabalhista". - Com efeito, rompido o contrato de trabalho, desaparece a garantia do alimento de serem feitos os descontos em folha de pagamento do alimentante, perdurando a incerteza do alimentado até que o alimentante volte a empregar-se, o que poderá ocorrer ou não, em tempo impossível de ser previsto. - Para que não fique comprometida a subsistência do alimentado, que é a finalidade da pensão alimentícia, nada mais justo do que atribuir-lhe participação, pelo percentual vigorante, na indenização que o alimentado recebe pelo rompimento do contrato de trabalho. Julgado em 27-09-1983 Arquivo do Ementário Forense, TJ/1.320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sobre os salários e também, sobre o ganho líquido auferido pelo alimentante, a título de indenização, pelo rompimento do contrato de trabalho, o percentual em favor do alimentado.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2026-10-26T01:59:56.911Z</dcterms:created>
  <dcterms:modified xsi:type="dcterms:W3CDTF">2026-10-26T01:59:56.911Z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