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Julgado em: </w:t>
      </w:r>
      <w:r>
        <w:t xml:space="preserve">27/08/1984</w:t>
      </w:r>
    </w:p>
    <w:p/>
    <w:p>
      <w:r>
        <w:t xml:space="preserve">QUANDO NÃO LHE SERVE DE FUNDAMENTO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incidente de falsidade era, realmente desnecessário. O título ainda que emitido sem data, é autêntico, de vez que reconhecida a assinatura e o valor nele apostos. A ausência da data de emissão e respectivo lugar não é tido como requisito essencial, que implicaria a nulidade ou ineficácia do título. É o que ensina RUBENS REQUIÃO ("Curso de Direito Comercial", vol. 2º/401, nº 622). É possível o suprimento antes do início da cobrança executiva. Como já se decidiu, é irrelevante a data do cheque para sua cobrança (RT 495/226). Julgado em 28-08-1984 Revista dos Tribunais. Dezembro 1984 - Vol. 590 - Pág. 141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comprovado o preenchimento posterior da data da emissão do cheque, tal circunstância não inutiliza o título, nem é fundamento para que se instaure incidente de falsidade.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2026-07-28T02:00:51.348Z</dcterms:created>
  <dcterms:modified xsi:type="dcterms:W3CDTF">2026-07-28T02:00:51.348Z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