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Julgado em: </w:t>
      </w:r>
      <w:r>
        <w:t xml:space="preserve">27/08/1984</w:t>
      </w:r>
    </w:p>
    <w:p/>
    <w:p>
      <w:r>
        <w:t xml:space="preserve">QUANDO NÃO LHE SERVE DE FUNDAMENTO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incidente de falsidade era, realmente desnecessário. O título ainda que emitido sem data, é autêntico, de vez que reconhecida a assinatura e o valor nele apostos. A ausência da data de emissão e respectivo lugar não é tido como requisito essencial, que implicaria a nulidade ou ineficácia do título. É o que ensina RUBENS REQUIÃO ("Curso de Direito Comercial", vol. 2º/401, nº 622). É possível o suprimento antes do início da cobrança executiva. Como já se decidiu, é irrelevante a data do cheque para sua cobrança (RT 495/226). Julgado em 28-08-1984 Revista dos Tribunais. Dezembro 1984 - Vol. 590 - Pág. 141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comprovado o preenchimento posterior da data da emissão do cheque, tal circunstância não inutiliza o título, nem é fundamento para que se instaure incidente de falsidade.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2026-10-26T03:21:12.142Z</dcterms:created>
  <dcterms:modified xsi:type="dcterms:W3CDTF">2026-10-26T03:21:12.142Z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