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09/08/1983</w:t>
      </w:r>
    </w:p>
    <w:p/>
    <w:p>
      <w:r>
        <w:t xml:space="preserve">DESNECESSIDADE DE CITAÇÃO DE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representação ativa e passiva do espólio cabe ao inventariante, a quem compete iniciar as ações de interesse da herança a ser citado nas ações contra ela propostas. Essa regra, que já o era do Direito anterior, ostenta manifesto acerto, porque é de toda conveniência centralizar a representação em uma única pessoa, em vez de deixá-la diluída no conjunto de herdeiros. A não ser assim observa AGRÍCOLA BARBI, "seria extremamente, difícil reunir todos os herdeiros, como autores ou fazer citar todos eles como réus, nas ações referentes ao espólio. Justifica-se que a escolha recaia no inventariante que é meeiro ou herdeiro, e tem, portanto, interesse direto na defesa dos bens". (Com. ao CPC - vol. I tomo I, arts. 1º a 55 - CELSO AGRÍCOLA DARBI - Forense). Julgado em 10-08-1983 Arquivo do Ementário Forense, TA/552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dispensa a citação dos demais herdeiros quando o inventariante é um herdeiro ou meeiro isto em atenção a seu natural interesse na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2026-07-28T04:04:45.278Z</dcterms:created>
  <dcterms:modified xsi:type="dcterms:W3CDTF">2026-07-28T04:04:45.278Z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