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31/08/1983</w:t>
      </w:r>
    </w:p>
    <w:p/>
    <w:p>
      <w:r>
        <w:t xml:space="preserve">VERIFICAÇÃO POR VISTORIA QUE OS MESMOS DECORRERAM DO USO NORMAL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Por lei o locatário não responde pelas deteriorações naturais ao uso regular da coisa locada (Cód. Civil, art. 1.192, IV), só sendo obrigado a executar as reparações de estragos que não provenham naturalmente do tempo ou do uso do imóvel (art. 1.206, § único). - Quanto aos lucros cessantes (alugueres entre a desocupação do imóvel e a vistoria), não são eles devidos, porque a vistoria apurou que o apartamento estava limpo, com as paredes pintadas recentemente, não se comprovando que o mesmo não estivesse em condições de ser realugado após a desocupação. Julgado em 01-09-1983 Arquivo do Ementário Forense, TA/553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Apurado pela vistoria perpetuadora, inimpugnada, que os danos registrados no imóvel locado decorreram de seu uso normal, não há como compelir o inquilino a ressarci-los, não sendo, por outro lado, devidos alugueres no entretempo da desocupação e da vistoria nele realizada.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2026-07-28T04:06:00.226Z</dcterms:created>
  <dcterms:modified xsi:type="dcterms:W3CDTF">2026-07-28T04:06:00.226Z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