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Julgado em: </w:t>
      </w:r>
      <w:r>
        <w:t xml:space="preserve">31/08/1983</w:t>
      </w:r>
    </w:p>
    <w:p/>
    <w:p>
      <w:r>
        <w:t xml:space="preserve">VERIFICAÇÃO POR VISTORIA QUE OS MESMOS DECORRERAM DO USO NORMAL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Por lei o locatário não responde pelas deteriorações naturais ao uso regular da coisa locada (Cód. Civil, art. 1.192, IV), só sendo obrigado a executar as reparações de estragos que não provenham naturalmente do tempo ou do uso do imóvel (art. 1.206, § único). - Quanto aos lucros cessantes (alugueres entre a desocupação do imóvel e a vistoria), não são eles devidos, porque a vistoria apurou que o apartamento estava limpo, com as paredes pintadas recentemente, não se comprovando que o mesmo não estivesse em condições de ser realugado após a desocupação. Julgado em 01-09-1983 Arquivo do Ementário Forense, TA/553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Apurado pela vistoria perpetuadora, inimpugnada, que os danos registrados no imóvel locado decorreram de seu uso normal, não há como compelir o inquilino a ressarci-los, não sendo, por outro lado, devidos alugueres no entretempo da desocupação e da vistoria nele realizada.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2026-10-26T02:53:10.800Z</dcterms:created>
  <dcterms:modified xsi:type="dcterms:W3CDTF">2026-10-26T02:53:10.800Z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