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94.184</w:t>
      </w:r>
    </w:p>
    <w:p>
      <w:r>
        <w:rPr>
          <w:b/>
          <w:bCs/>
        </w:rPr>
        <w:t xml:space="preserve">Julgado em: </w:t>
      </w:r>
      <w:r>
        <w:t xml:space="preserve">12/06/1984</w:t>
      </w:r>
    </w:p>
    <w:p/>
    <w:p>
      <w:r>
        <w:t xml:space="preserve">PASSAGEM À INATIVIDADE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Sobre o direito adquirido à vantagem prescrita pela Lei nº 1.156/50 derrogada pela Lei nº 4.902/65, cabe assinalar como incontroverso que não haviam os autores preenchido os requisitos da passagem à inatividade ao tempo de vigência da lei mais benigna. - Esta singular premissa autoriza a conclusão do aresto atacado. Se mesmo os proventos são regulados pela lei vigente à época da transferência para a reserva (Súmula nº 359), por idêntica razão o quadro funcional do servidor há de fundar-se nos diplomas legais vigentes quando reuniu condições para a retirada, visto que até então não se terá aperfeiçoado o direito à própria inatividade e, "a fortiori" aos benefícios dela decorrentes. - É do entendimento pacífico desta Corte que, quando não reunidos todos os requisitos da inativação, não há direito a ela ou às suas vantagens. Em caso semelhante a este - RE nº 94.184 RTJ 103/310 - assinalou o Min. DJACI FALCÃO que o referido instituto "pressupõe o atendimento a uma situação que vem juridicamente definida". Assim, descaracterizada nos autos a realidade que a lei reclama para produzir os efeitos nela previstos, não há direito adquirido. Julgado em 13-06-1984 Revista Trimestral de Jurisprudência. Dezembro 1984 - Vol. 110 - Pág. 986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adquirido à promoção prevista na Lei nº 1.156/50, o militar que só reuniu os requisitos da passagem à inatividade quando em vigor a Lei nº 4.902/65.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2026-07-27T23:34:55.874Z</dcterms:created>
  <dcterms:modified xsi:type="dcterms:W3CDTF">2026-07-27T23:34:55.874Z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