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 94.184</w:t>
      </w:r>
    </w:p>
    <w:p>
      <w:r>
        <w:rPr>
          <w:b/>
          <w:bCs/>
        </w:rPr>
        <w:t xml:space="preserve">Julgado em: </w:t>
      </w:r>
      <w:r>
        <w:t xml:space="preserve">12/06/1984</w:t>
      </w:r>
    </w:p>
    <w:p/>
    <w:p>
      <w:r>
        <w:t xml:space="preserve">PASSAGEM À INATIVIDADE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Sobre o direito adquirido à vantagem prescrita pela Lei nº 1.156/50 derrogada pela Lei nº 4.902/65, cabe assinalar como incontroverso que não haviam os autores preenchido os requisitos da passagem à inatividade ao tempo de vigência da lei mais benigna. - Esta singular premissa autoriza a conclusão do aresto atacado. Se mesmo os proventos são regulados pela lei vigente à época da transferência para a reserva (Súmula nº 359), por idêntica razão o quadro funcional do servidor há de fundar-se nos diplomas legais vigentes quando reuniu condições para a retirada, visto que até então não se terá aperfeiçoado o direito à própria inatividade e, "a fortiori" aos benefícios dela decorrentes. - É do entendimento pacífico desta Corte que, quando não reunidos todos os requisitos da inativação, não há direito a ela ou às suas vantagens. Em caso semelhante a este - RE nº 94.184 RTJ 103/310 - assinalou o Min. DJACI FALCÃO que o referido instituto "pressupõe o atendimento a uma situação que vem juridicamente definida". Assim, descaracterizada nos autos a realidade que a lei reclama para produzir os efeitos nela previstos, não há direito adquirido. Julgado em 13-06-1984 Revista Trimestral de Jurisprudência. Dezembro 1984 - Vol. 110 - Pág. 986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adquirido à promoção prevista na Lei nº 1.156/50, o militar que só reuniu os requisitos da passagem à inatividade quando em vigor a Lei nº 4.902/65.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2026-10-26T02:32:00.231Z</dcterms:created>
  <dcterms:modified xsi:type="dcterms:W3CDTF">2026-10-26T02:32:00.231Z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