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Julgado em: </w:t>
      </w:r>
      <w:r>
        <w:t xml:space="preserve">28/03/1984</w:t>
      </w:r>
    </w:p>
    <w:p/>
    <w:p>
      <w:r>
        <w:t xml:space="preserve">SE PODE SER PRESUMIDA A INTENÇÃO DE NOVAR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Nesse sentido é a lição do autorizado ANTUNES VARELA, in "Direito das Obrigações" vol. II/215, ed. Forense 1978, que adverte ao examinar o requisito do "animus novandi". "Na dúvida porém, sobre a real intenção dos interessados, não deve presumir-se o "animus novandi". Só deve dar-se por extinta a obrigação antiga quando haja prova nesse sentido sobre a intenção das partes". Em tópico anterior, o citado jurista já havia anotado: "Se a idéia das partes é apenas a de alterar ou modificar o objeto da obrigação, o tempo ou o modo do seu cumprimento (elevando a taxa de juros, incluindo correção monetária, concedendo uma moratória, alterando o lugar de entrega da mercadoria, etc.), mas sem a intenção de a dar por extinta, não há novação. Há apenas modificação ou alteração da obrigação" (ob. cit. p. 214). - De igual teor é o magistério de W. B. MONTEIRO: "... não há novação quando à obrigação apenas se adicionam novas garantias, quando se concede moratória ao devedor, quando se lhe defere abatimento de preço, maiores facilidades de pagamento ou reforma do título". Julgado em 29-03-1984 Revista dos Tribunais. Dezembro 1984 - Vol. 590 - Pág. 80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intenção de novar não se presume. A tolerância quanto à observância do prazo, seja pela prorrogação, ou eliminação daquele ajustado, autoriza à falta de outras indicações em sentido contrário, tão-somente o reconhecimento de alteração ou modificação da obrigação originária posto que não se caracteriza, nessas hipóteses, a novação, cujos elementos fundamentais não são afetados.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2026-10-26T03:18:08.946Z</dcterms:created>
  <dcterms:modified xsi:type="dcterms:W3CDTF">2026-10-26T03:18:08.946Z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