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Julgado em: </w:t>
      </w:r>
      <w:r>
        <w:t xml:space="preserve">01/05/1984</w:t>
      </w:r>
    </w:p>
    <w:p/>
    <w:p>
      <w:r>
        <w:t xml:space="preserve">DIREITO DO MANDATÁRIO DE OPOR-SE À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Como bem assinala FRANZEN DE LIMA ("Curso de Direito Civil Brasileiro", vol. II, tomo 3º, pág. 685): "transcrita, ou não transcrita, registrada ou não, a procuração em causa própria tem o seu valor autônomo, é sempre um título de transferência de direitos, pelo qual o outorgante se demite deles por força dos poderes irrevogáveis que outorga, e o outorgado substitui no exercício de tais direitos, usando daqueles poderes que lhe foram outorgados com a cláusula que os torna definitivos, porque irrevogáveis". - Sendo irrevogável, não se extingue com a morte do mandante ou mandatário, porque traduz obrigação transmissível aos herdeiros como leciona CAIO MÁRIO ("Instituições de Direito Civil", vol. III, pág. 278). - Valendo pelo próprio contrato, o mandatário, tem titularidade para opor Embargos de Terceiro. Julgado em 02-05-1984 Arquivo do Ementário Forense, TA/554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procuração em causa própria é um título de transmissão dos direitos e adquire valor próprio que não se confunde com outro mandato, constituindo, portanto, título hábil para instruir embargos de terceiro à penhora feita contra o mandante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2026-07-28T02:29:33.089Z</dcterms:created>
  <dcterms:modified xsi:type="dcterms:W3CDTF">2026-07-28T02:29:33.090Z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