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22/03/1984</w:t>
      </w:r>
    </w:p>
    <w:p/>
    <w:p>
      <w:r>
        <w:t xml:space="preserve">INCIDÊNCIA SOBRE DIREITO DE USO À LINHA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decisão está correta. Consoante bem demonstrada na sentença impugnada o uso da linha telefônica constitui-se em bem "intra comercium", de valoração econômica e portanto, suscetível de penhora. - ... O auto de penhora e depósito foi claro em consignar a penhora de direitos de uso do terminal telefônico, que a empresa executada detém. Obviamente seus direitos são aqueles que sobreexistirem ao final do respectivo Plano. Assim, se ao final o assinante não tiver solvido as parcelas do preço aquisitivo, é óbvio que estes direitos serão nenhum. Se as contas de consumo ou as prestações não forem solvidas, evidentemente, nos termos do contrato celebrado entre a concessionária e o assinante, este estará roto e os direitos serão zero. Julgado em 23-03-1984 Revista dos Tribunais. Dezembro 1984 - Vol. 590 - Pág. 85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é a incidência da penhora sobre direitos de uso de linha telefônica, não constituindo óbice à constrição judicial o fato de ser a linha telefônica, objeto de plano de expansão, ou seja, de pagamento parcelado ainda não concluído pelo assinante originário.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2026-10-26T04:35:14.308Z</dcterms:created>
  <dcterms:modified xsi:type="dcterms:W3CDTF">2026-10-26T04:35:14.308Z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