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Julgado em: </w:t>
      </w:r>
      <w:r>
        <w:t xml:space="preserve">22/03/1984</w:t>
      </w:r>
    </w:p>
    <w:p/>
    <w:p>
      <w:r>
        <w:t xml:space="preserve">INCIDÊNCIA SOBRE DIREITO DE USO À LINHA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decisão está correta. Consoante bem demonstrada na sentença impugnada o uso da linha telefônica constitui-se em bem "intra comercium", de valoração econômica e portanto, suscetível de penhora. - ... O auto de penhora e depósito foi claro em consignar a penhora de direitos de uso do terminal telefônico, que a empresa executada detém. Obviamente seus direitos são aqueles que sobreexistirem ao final do respectivo Plano. Assim, se ao final o assinante não tiver solvido as parcelas do preço aquisitivo, é óbvio que estes direitos serão nenhum. Se as contas de consumo ou as prestações não forem solvidas, evidentemente, nos termos do contrato celebrado entre a concessionária e o assinante, este estará roto e os direitos serão zero. Julgado em 23-03-1984 Revista dos Tribunais. Dezembro 1984 - Vol. 590 - Pág. 85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Admissível é a incidência da penhora sobre direitos de uso de linha telefônica, não constituindo óbice à constrição judicial o fato de ser a linha telefônica, objeto de plano de expansão, ou seja, de pagamento parcelado ainda não concluído pelo assinante originário.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2026-07-28T04:14:58.030Z</dcterms:created>
  <dcterms:modified xsi:type="dcterms:W3CDTF">2026-07-28T04:14:58.030Z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