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04/04/1984</w:t>
      </w:r>
    </w:p>
    <w:p/>
    <w:p>
      <w:r>
        <w:t xml:space="preserve">ATO LEVADO A EFEITO NA VIGÊNCIA DA SOCIEDADE CONJUGAL — INEFICÁCIA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Nos termos do art. 1º da Lei nº 883, de 21-10-49. "dissolvida a sociedade conjugal, será permitido a qualquer dos cônjuges o reconhecimento do filho havido fora do matrimônio e ao filho, a ação para que se lhe declare a filiação". - A condição primeira para que o filho adulterino possa ser reconhecido é a dissolução da sociedade conjugal decorrente do matrimônio do genitor. Enquanto subsiste, nem o pai pode reconhecê-lo voluntariamente, nem ele pode demandar para que se lhe declare a filiação. Terminada a sociedade conjugal, desaparece o obstáculo que impede o reconhecimento do filho havido fora do matrimônio. Por assim dizer, a dissolução da sociedade conjugal é a condição suspensiva a que se subordina o nascimento do direito do filho adulterino ao reconhecimento. Antes de terminar a sociedade conjugal, o filho tem apenas mera expectativa de direito. Verificada porém a condição, o direito nasce". ("Do Reconhecimento dos Filhos Adulterinos", ORLANDO GOMES E NELSON CARNEIRO, pág. 303-4). Julgado em 05-04-1984 Revista dos Tribunais. Dezembro 1984 - Vol. 590 - Pág. 77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de filhos adulterinos, mesmo na constância do casamento, não autoriza a anulação do registro, e sim sua ineficácia enquanto perdurar a sociedade conjugal.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2026-10-26T05:38:33.153Z</dcterms:created>
  <dcterms:modified xsi:type="dcterms:W3CDTF">2026-10-26T05:38:33.153Z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