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Julgado em: </w:t>
      </w:r>
      <w:r>
        <w:t xml:space="preserve">04/04/1984</w:t>
      </w:r>
    </w:p>
    <w:p/>
    <w:p>
      <w:r>
        <w:t xml:space="preserve">ATO LEVADO A EFEITO NA VIGÊNCIA DA SOCIEDADE CONJUGAL — INEFICÁCIA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Nos termos do art. 1º da Lei nº 883, de 21-10-49. "dissolvida a sociedade conjugal, será permitido a qualquer dos cônjuges o reconhecimento do filho havido fora do matrimônio e ao filho, a ação para que se lhe declare a filiação". - A condição primeira para que o filho adulterino possa ser reconhecido é a dissolução da sociedade conjugal decorrente do matrimônio do genitor. Enquanto subsiste, nem o pai pode reconhecê-lo voluntariamente, nem ele pode demandar para que se lhe declare a filiação. Terminada a sociedade conjugal, desaparece o obstáculo que impede o reconhecimento do filho havido fora do matrimônio. Por assim dizer, a dissolução da sociedade conjugal é a condição suspensiva a que se subordina o nascimento do direito do filho adulterino ao reconhecimento. Antes de terminar a sociedade conjugal, o filho tem apenas mera expectativa de direito. Verificada porém a condição, o direito nasce". ("Do Reconhecimento dos Filhos Adulterinos", ORLANDO GOMES E NELSON CARNEIRO, pág. 303-4). Julgado em 05-04-1984 Revista dos Tribunais. Dezembro 1984 - Vol. 590 - Pág. 77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reconhecimento de filhos adulterinos, mesmo na constância do casamento, não autoriza a anulação do registro, e sim sua ineficácia enquanto perdurar a sociedade conjugal.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2026-07-28T01:50:40.617Z</dcterms:created>
  <dcterms:modified xsi:type="dcterms:W3CDTF">2026-07-28T01:50:40.617Z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