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Julgado em: </w:t>
      </w:r>
      <w:r>
        <w:t xml:space="preserve">22/03/1983</w:t>
      </w:r>
    </w:p>
    <w:p/>
    <w:p>
      <w:r>
        <w:t xml:space="preserve">FALTAS E AVARIAS DA MERCADORIA — QUANDO CESSA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O art. 3º do Dec-lei nº 116/67 dispõe que a responsabilidade do transportador cessa com a entrega da mercadoria no porto do destino, ficando cumprido o contrato de transporte. - Disso resulta que a retirada da mercadoria do armazém portuário incumbe a seu consignatário, no caso em exame, ao segurado da autora, ora Apelada. - As despesas de armazenamento não são da responsabilidade da transportadora a quem não se pode imputar a culpa pela demora para a realização da vistoria e retirada da mercadoria. Julgado em 23-03-1983 Arquivo do Ementário Forense, TA/544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da transportadora se limita às faltas e avarias da mercadoria transportada, cessando com a entrega da mercadoria ao armazém do porto a que se destina.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2026-07-27T23:36:25.110Z</dcterms:created>
  <dcterms:modified xsi:type="dcterms:W3CDTF">2026-07-27T23:36:25.110Z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