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Julgado em: </w:t>
      </w:r>
      <w:r>
        <w:t xml:space="preserve">22/03/1983</w:t>
      </w:r>
    </w:p>
    <w:p/>
    <w:p>
      <w:r>
        <w:t xml:space="preserve">FALTAS E AVARIAS DA MERCADORIA — QUANDO CESSA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O art. 3º do Dec-lei nº 116/67 dispõe que a responsabilidade do transportador cessa com a entrega da mercadoria no porto do destino, ficando cumprido o contrato de transporte. - Disso resulta que a retirada da mercadoria do armazém portuário incumbe a seu consignatário, no caso em exame, ao segurado da autora, ora Apelada. - As despesas de armazenamento não são da responsabilidade da transportadora a quem não se pode imputar a culpa pela demora para a realização da vistoria e retirada da mercadoria. Julgado em 23-03-1983 Arquivo do Ementário Forense, TA/544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da transportadora se limita às faltas e avarias da mercadoria transportada, cessando com a entrega da mercadoria ao armazém do porto a que se destina.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2026-10-26T04:34:45.545Z</dcterms:created>
  <dcterms:modified xsi:type="dcterms:W3CDTF">2026-10-26T04:34:45.545Z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