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MINISTÉRIO DAS RELAÇÕES EXTERIORES</w:t>
      </w:r>
    </w:p>
    <w:p/>
    <w:p>
      <w:r>
        <w:rPr>
          <w:b/>
          <w:bCs/>
        </w:rPr>
        <w:t xml:space="preserve">Recurso: </w:t>
      </w:r>
      <w:r>
        <w:t xml:space="preserve">REsp 65.500-</w:t>
      </w:r>
    </w:p>
    <w:p/>
    <w:p>
      <w:r>
        <w:t xml:space="preserve">QUANDO NÃO SERVE A EMBASAR A OPOSIÇÃO DOS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regimental interposto por Condugel S/A contra a decisão proferida pelo relator originário deste processo, o Ministro Anselmo Santiago, fls., indeferindo liminarmente os embargos de divergência, sob o fundamento de que inexiste qualquer divergência entre os julgados, sendo que, na parte comum a ambos, qual seja a alteração do IPC de janeiro de 1989, deram idêntica solução aos casos. - Eis as razões de agravar: (lê). - Não reconsiderei a decisão. - É o relatório, ... DO VOTO - A despeito de instada a fazê-lo, por meio de embargos de declaração, a e. Turma Julgadora não cuidou, em verdade, da questão específica, relativa à repercussão no mês de fevereiro de 89, não se podendo, em tais circunstâncias, vislumbrar dissídio de interpretação. - Como já decidiu esta Corte, a só circunstância de causas versando a mesma matéria não terem sido solucionadas do mesmo modo não serve a embasar a oposição de embargos de divergência. A discrepância entre teses jurídicas pressupõe abordagem explícita (EDREsp 65.500-SP). - Apresentando-se escorreita a decisão agravada, nego provimento ao agravo regimental. É o meu voto. Ac. de 02-06-1999 DJ de 28-06-1999 (Registro nº 97.0084131-6) Revista do Superior Tribunal de Justiça, outubro de 1999, vol. 10, pág. 43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só circunstância de causas versando a mesma matéria não terem sido solucionadas do mesmo modo por órgãos fracionários do Tribunal não serve a embasar a oposição de embargos de divergência. A discrepância entre teses jurídicas pressupõe abordagem explícita.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2026-07-27T23:35:35.213Z</dcterms:created>
  <dcterms:modified xsi:type="dcterms:W3CDTF">2026-07-27T23:35:35.213Z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