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/>
    <w:p>
      <w:r>
        <w:t xml:space="preserve">AUTO DE PENHORA — FALTA DE ASSINATURA DO OFICIAL DE JUSTIÇA -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alegação de ausência de assinatura do oficial de justiça no auto de penhora, melhor sorte não merece o recurso. - A propósito, confira-se a fundamentação do acórdão recorrido: "Quanto à falta de assinatura do meirinho no anverso do auto de penhora (fl.), não invalida o ato que certificou realizada a penhora e o respectivo depósito, restando intimado o devedor com aposição das assinaturas no verso do documento. Aliás, como se trata de um só auto aquele de penhora e depósito (CPC, artigo 664), firmado o último, engloba também o primeiro. A mera irregularidade não trouxe prejuízo à parte, posto ter sido cientificada da responsabilidade de depositário dos bens (fls.), para daí providenciar na defesa que achasse conveniente. A bem da verdade, observa-se a perda do prazo para a interposição dos embargos, razão pela qual buscou o apelante encontrar algum vício formal que lhe reabrisse a oportunidade para impugnar a execução". - Com efeito, não há como se concluir, uma vez assinado o verso do auto de penhora e firmado o auto de depósito, pela nulidade do ato. A uma, porque a sua finalidade foi alcançada. A duas, porque prejuízo algum sofreu o réu com a ausência da assinatura. A três, porque, nos temos do art. 664, CPC, realizada a penhora e o depósito no mesmo dia, como no caso dos autos, lavra-se um só auto, restando suficiente, portanto, uma assinatura para todas as diligências. - A instrumentalidade do processo e o perfil deste no direito contemporâneo não permitem que meras irregularidades constituam empeço à satisfação da prestação jurisdicional. - Por todo o exposto, não conheço do recurso. Ac. de 05-08-1999 DJ de 13-09-1999 (Registro nº 98.0038773-0) Revista do Superior Tribunal de Justiça, outubro de 1999, vol. 10, pág. 304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se ter pela nulidade do auto de penhora, por não constar a assinatura do oficial de justiça, quando restou assinado o seu verso e o auto de depósito. A uma, porque a finalidade foi alcançada. A duas, porque prejuízo algum sofreu o réu com a ausência da assinatura. A três, porque, nos termos do art. 664, CPC, efetuados a penhora e o depósito no mesmo dia, como no caso, lavra-se um só auto, restando suficiente uma assinatura para todas as diligências.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2026-07-27T23:35:58.897Z</dcterms:created>
  <dcterms:modified xsi:type="dcterms:W3CDTF">2026-07-27T23:35:58.897Z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