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/>
    <w:p>
      <w:r>
        <w:t xml:space="preserve">AUTO DE PENHORA — FALTA DE ASSINATURA DO OFICIAL DE JUSTIÇA -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alegação de ausência de assinatura do oficial de justiça no auto de penhora, melhor sorte não merece o recurso. - A propósito, confira-se a fundamentação do acórdão recorrido: "Quanto à falta de assinatura do meirinho no anverso do auto de penhora (fl.), não invalida o ato que certificou realizada a penhora e o respectivo depósito, restando intimado o devedor com aposição das assinaturas no verso do documento. Aliás, como se trata de um só auto aquele de penhora e depósito (CPC, artigo 664), firmado o último, engloba também o primeiro. A mera irregularidade não trouxe prejuízo à parte, posto ter sido cientificada da responsabilidade de depositário dos bens (fls.), para daí providenciar na defesa que achasse conveniente. A bem da verdade, observa-se a perda do prazo para a interposição dos embargos, razão pela qual buscou o apelante encontrar algum vício formal que lhe reabrisse a oportunidade para impugnar a execução". - Com efeito, não há como se concluir, uma vez assinado o verso do auto de penhora e firmado o auto de depósito, pela nulidade do ato. A uma, porque a sua finalidade foi alcançada. A duas, porque prejuízo algum sofreu o réu com a ausência da assinatura. A três, porque, nos temos do art. 664, CPC, realizada a penhora e o depósito no mesmo dia, como no caso dos autos, lavra-se um só auto, restando suficiente, portanto, uma assinatura para todas as diligências. - A instrumentalidade do processo e o perfil deste no direito contemporâneo não permitem que meras irregularidades constituam empeço à satisfação da prestação jurisdicional. - Por todo o exposto, não conheço do recurso. Ac. de 05-08-1999 DJ de 13-09-1999 (Registro nº 98.0038773-0) Revista do Superior Tribunal de Justiça, outubro de 1999, vol. 10, pág. 304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se ter pela nulidade do auto de penhora, por não constar a assinatura do oficial de justiça, quando restou assinado o seu verso e o auto de depósito. A uma, porque a finalidade foi alcançada. A duas, porque prejuízo algum sofreu o réu com a ausência da assinatura. A três, porque, nos termos do art. 664, CPC, efetuados a penhora e o depósito no mesmo dia, como no caso, lavra-se um só auto, restando suficiente uma assinatura para todas as diligências.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2026-10-26T04:33:19.585Z</dcterms:created>
  <dcterms:modified xsi:type="dcterms:W3CDTF">2026-10-26T04:33:19.585Z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