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NACIONAL DO PETRÓLEO</w:t>
      </w:r>
    </w:p>
    <w:p>
      <w:r>
        <w:rPr>
          <w:i/>
          <w:iCs/>
          <w:color w:val="666666"/>
        </w:rPr>
        <w:t xml:space="preserve">HORÁRIO PARA VENDA DE COMBUSTÍVEIS</w:t>
      </w:r>
    </w:p>
    <w:p/>
    <w:p/>
    <w:p>
      <w:r>
        <w:t xml:space="preserve">EXECUÇÃO FISCAL — PROSSEGUIMENTO DESTA SOBRE OUTROS BENS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Realmente, não pode a lei posterior ter efeito retroativo, atingindo ato jurídico perfeito e acabado, como a penhora realizada anteriormente à sua vigência, mas pode impedir o curso da execução lastreada nessa mesma penhora, e é o que fez. - ...................................................................... - ... Portanto, é direito do agravante obter o cancelamento da execução que sofre, execução essa, bem entendido, alicerçada na penhora realizada, mas não em outra que venha a se concretizar sobre outro bem seu. Enfim, cancela-se a execução apenas sobre esse bem impenhorável, podendo, no entanto, prosseguir sobre outro, como, aliás, acertadamente se concluiu no final do decisório ora combatido e no final do despacho de manutenção. Ac. de 11-03-1991 Rev. dos Tribunais - Set. de 1991 - Vol. 671 - Pág. 100. EMFOR 521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8.009/90, que dispõe sobre a impenhorabilidade do bem de família, aplica-se desde logo aos processos pendentes, inclusive aqueles decorrentes de débito fiscal. - Assim, deve-se cancelar a execução lastreada na penhora deste bem. Possibilita-se, entretanto, o prosseguimento como de direito da execução fiscal se outros bens eventualmente existentes puderem responder pelo débito exeqüendo.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2026-09-10T22:39:28.287Z</dcterms:created>
  <dcterms:modified xsi:type="dcterms:W3CDTF">2026-09-10T22:39:28.287Z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