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Recurso Especial 35.619-9-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CLAUDIO SANTOS</w:t>
      </w:r>
    </w:p>
    <w:p>
      <w:r>
        <w:rPr>
          <w:b/>
          <w:bCs/>
        </w:rPr>
        <w:t xml:space="preserve">Julgado em: </w:t>
      </w:r>
      <w:r>
        <w:t xml:space="preserve">12/04/1999</w:t>
      </w:r>
    </w:p>
    <w:p/>
    <w:p>
      <w:r>
        <w:t xml:space="preserve">DEPÓSITO EM DINHEIRO — PREFERÊNCIA SOBRE IMÓVEL -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no caso em tela, já havendo dinheiro depositado - o qual, diga-se, não é parte da renda da agravante, na medida em que, ao que tudo indica, é parte de comissão que era usualmente repassada à agravada por força de contrato -, não existem motivos para que se desconstitua esta penhora e seja a mesma transferida para imóvel. - Admitir-se tal situação seria o mesmo que andar na "contramão" do processo, isto porque, à toda lógica, o imóvel que se pretende seja penhorado deverá ser avaliado, para futura liquidação (transformação em dinheiro), ao passo que a importância já depositada, evidentemente, dispensa tal fase do procedimento. Certamente que, com o referido retrocesso no andamento do feito, estaria sendo frontalmente contrariada a norma do art. 655 do CPC, como também estariam sendo contrariados os princípios da celeridade e efetividade. - A jurisprudência é uníssona neste sentido: "justifica-se a recusa de bens nomeados à penhora que se revelem de difícil alienação, outros havendo que ensejariam execução mais eficaz.." (STJ, 3ª Turma, Recurso Especial nº 35.619-9-SP, relator Min. EDUARDO RIBEIRO, in DJU 20.09.93, pág. 19.177). "Penhora. Gradação legal na oferta. Tendo o devedor bens de mais fácil conversão em dinheiro, para efeito de penhora, não se há de obedecer rigorosamente à ordem do art. 655 do CPC." (STJ, 3ª turma, Rec. Esp. Nº 15.026-0 SP. Rel. Min. CLAUDIO SANTOS, "in" DJU 30-11-92, pág. 22.608). - Por tais razões, divergindo do voto do eminente relator, nego provimento ao agravo. VOTO VENCIDO DO DESEMBARGADOR JORGE LUIZ HABIB: - Ousei discordar da douta maioria, por entender que deve ser dado provimento ao agravo. - ... Neste passo, é o entendimento esposado pelo Egrégio Superior Tribunal de Justiça, conforme se depreende do julgado, que abaixo transcreve-se: "A gradação estabelecida para efetivação da penhora tem caráter relativo, já que o seu objetivo é realizar o pagamento do modo mais fácil e célere. Pode ela, pois, ser alterada por força de circunstâncias e tendo em vista as particularidades de cada caso concreto e no interesse das partes, presente, ademais, a regra do art. 620 (RMS 47 - SP, 2ª turma, Rel. Ministro CARLOS VELLOSO; DJU de 21-05-90). - Ora, é princípio insculpido no art. 620 do CPC, de que a execução deve ser da maneira menos gravosa ao devedor, o que "in casu" se afigura com a nomeação feita pela agravante às fls. 46 destes autos, que oferece bem imóvel situado na Avenida Rio Branco, nº ... , nesta cidade. - Por tais razões, votei vencido, pois dava provimento ao agravo, para cassar a decisão vergastada, determinando-se que a penhora se faça sobre o imóvel ofertado, por constituir-se no meio menos gravoso ao executado, como determina a lei de ritos. Julgado em 13-04-1999 Revista de Direito, TJRJ. Vol. 42. Pág. 241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enumeração do art. 655 da Lei Processual não seja taxativa, justifica-se a recusa do bem nomeado e conseqüente incidência da constrição judicial sobre importância em dinheiro já depositada, diante das circunstâncias do caso concreto, não se tratando de penhora de renda de estabelecimento e sim de dinheiro.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2026-10-26T03:08:36.339Z</dcterms:created>
  <dcterms:modified xsi:type="dcterms:W3CDTF">2026-10-26T03:08:36.339Z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