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ECONOMIA</w:t>
      </w:r>
    </w:p>
    <w:p>
      <w:r>
        <w:rPr>
          <w:i/>
          <w:iCs/>
          <w:color w:val="666666"/>
        </w:rPr>
        <w:t xml:space="preserve">DISTRIBUIDORA DE TÍTULOS E VALORES</w:t>
      </w:r>
    </w:p>
    <w:p/>
    <w:p/>
    <w:p>
      <w:r>
        <w:t xml:space="preserve">HERDEIRO EXCLUÍDO — PRAZO - VINTE 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Examino em primeiro lugar o recurso de Ana Maria O G, que adquiriu o imóvel no processo de inventário dos bens deixados por sua mãe Alice C O, na condição de única herdeira. Alega a prescrição da ação, por já decorrido o prazo de um ano do artigo 178, § 6º , inciso V, do Código Civil, previsto para a ação de nulidade de partilha. - Não procede o recurso, porém. - O prazo prescricional da ação do herdeiro não contemplado na partilha se estende por vinte anos: "Quem não foi parte no ato de partilha não está sujeito à prescrição do artigo 178, § 6º , V" ... "para quem não foi parte, a prescrição é de trinta (vinte) anos" (PONTES DE MIRANDA, Tratado, 6/349/350). - Os outros recorrentes, Denir M e sua mulher, terceiros adquirentes do imóvel e seus atuais proprietários, suscitaram em seu favor a prescrição aquisitiva, na modalidade da usucapião constitucional urbana, assim como definida no artigo 183 da CF. A defesa foi rejeitada por dois motivos: falta de prova do requisito de não ser o autor "proprietário de outro imóvel urbano ou rural"; o prazo prescricional começou a correr depois da promulgação da Constituição de 1988, tendo sido proposta a ação de nulidade em 1990, quando ainda não se completara o tempo exigido. Ac. de 28-11-1994 DJ de 13-02-1995 (Reg. nº 94.0007969-9) Revista do Superior Tribunal de Justiça, fevereiro de 1996, vol. 78, pág. 295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vinte anos o prazo de prescrição da ação de nulidade do herdeiro que não foi parte no ato de partilha.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2026-10-26T03:05:43.289Z</dcterms:created>
  <dcterms:modified xsi:type="dcterms:W3CDTF">2026-10-26T03:05:43.289Z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