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Julgado em: </w:t>
      </w:r>
      <w:r>
        <w:t xml:space="preserve">01/06/1982</w:t>
      </w:r>
    </w:p>
    <w:p/>
    <w:p>
      <w:r>
        <w:t xml:space="preserve">DEMORA IMPUTÁVEL AO AUTOR — EXTINÇÃO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... Não se pode conceber um retardamento na citação, de mais de dois anos, mormente se se considerar que os réus são domiciliados a residentes em Venda Nova, exatamente nesta Comarca de Belo Horizonte. Os autores foram desinteressados, não provendo, como lhes competia, a citação dos réus, antes que se consumasse o prazo extintivo desta ação. - Nem se diga que o despacho que ordenou a citação tem virtude de interromper a extinção do direito do autor, quando por culpa exclusiva sua, deixa de diligenciar a efetivação da citação nos prazos previstos no CPC. - Nesse sentido é a orientação do Pretório Excelso: "Se o autor, por culpa exclusiva sua, deixa de diligenciar a efetivação da citação nos prazos previstos no CPC, desaparece a interrupção decorrente do despacho que ordenou a citação. Carência da ação rescisória". Ação Rescisória n.º 905 - DF, Tribunal Pleno, rel. Min. MOREIRA ALVES, in RTJ 87/2. Julgado em 02-06-1982 Jurisprudência Mineira, Vol. 86 - Abril/ Junho 82 - Pág. 18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qualquer embaraço judicial, capaz de dificultar a citação dos réus, e se a citação não foi efetivada dentro do prazo legal, o despacho que a determinou perde a virtude de interrompê-la impondo, consequentemente, o decreto de extinção do respectivo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2026-09-10T23:09:37.876Z</dcterms:created>
  <dcterms:modified xsi:type="dcterms:W3CDTF">2026-09-10T23:09:37.876Z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