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CONSELHO REGIONAL DE ECONOMIA</w:t>
      </w:r>
    </w:p>
    <w:p>
      <w:r>
        <w:rPr>
          <w:i/>
          <w:iCs/>
          <w:color w:val="666666"/>
        </w:rPr>
        <w:t xml:space="preserve">DISTRIBUIDORA DE TÍTULOS E VALORES</w:t>
      </w:r>
    </w:p>
    <w:p/>
    <w:p>
      <w:r>
        <w:rPr>
          <w:b/>
          <w:bCs/>
        </w:rPr>
        <w:t xml:space="preserve">Julgado em: </w:t>
      </w:r>
      <w:r>
        <w:t xml:space="preserve">29/08/1984</w:t>
      </w:r>
    </w:p>
    <w:p/>
    <w:p>
      <w:r>
        <w:t xml:space="preserve">SUA FINALIDADE — ILEGALIDADE DO JULGADO E NÃO SUA INJUSTIÇA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Oportuno que se transcreva: "A ofensa à literal disposição de lei só ocorre quando a sentença afirma tese diversa daquela que a lei estabeleceu, ou nega o conteúdo da disposição legal" (JC vol. 1. Pág. 243). - Ademais, "in casu", não se vislumbra, como em toda r. sentença rescindenda, violação a preceito de lei e de conseqüente, não seria esta a oportunidade à observação com alusão se foi boa ou má a apreciação da prova. - Assim sendo, também deve-se transcrever: A injustiça da sentença resultante da má apreciação da prova não autoriza o exercício da ação rescisória, devendo esta trazer a julgamento uma questão sobre a qual o Juiz não se tenha pronunciamento. (Jurisprudência Brasileira, vol. 28, pág. 215). - Ainda, transcreve-se: "No âmbito estreito da rescisória não se pode reapreciar a prova para proclamar a injustiça do julgado em virtude de sua má apreciação. (Câmaras reunidas, TJMG, RT, 560, pág. 219). Julgado em 30-08-1984 Jurisprudência Catarinense. 4ª Trim/84 - Vol. 46 - Pág. 342 EMFOR 440 -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ação rescisória julga-se a ilegalidade do julgado e não sua injustiça, pois erros ou deficiências dos julgados são sanáveis pelas vias recursais.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Brasileira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2026-09-11T00:07:23.353Z</dcterms:created>
  <dcterms:modified xsi:type="dcterms:W3CDTF">2026-09-11T00:07:23.353Z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