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13/11/1984</w:t>
      </w:r>
    </w:p>
    <w:p/>
    <w:p>
      <w:r>
        <w:t xml:space="preserve">DECORRÊNCIA DA LEI ACIDENTÁRIA — INDEPENDÊNCIA DA CONCESSÃO DE ASSISTÊNCIA JUDICIÁRIA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culto Juiz "a quo" indeferiu o pedido porque o apelante percebe, mensalmente, como empregado, quantia superior a cinco salários mínimos, e que, assim não pode ser considerado "miserável" no sentido jurídico do termo. - Embora tenha formulado o pedido com apoio na Lei 1.060/50, o certo é que, à espécie, se aplica a lei acidentária, posto que lei especial, uma vez que o recorrente diz que pretende promover ação de acidente de trabalho. - Já no regime das leis anteriores (Dec.-lei 7.036/44 e 5.316/67) sempre se considerou que a ação acidentária era gratuita, independentemente da concessão do benefício da assistência judiciária (JTA 76/232). - E, diante da atual lei, outro não tem sido o entendimento, seja pela natureza da lide, que tem caráter alimentar, seja porque outra não pode ser a interpretação que se extrai da Lei 6.367/76 (art. 13). - A jurisprudência desta Corte de Justiça, tem, de modo pacífico, reafirmado que a gratuidade da ação acidentária está implícita nessa norma legal (JTA 75/270 76/232, 77/269, 77/311, 79/322 e 86/368). - Esta C. Câmara já teve oportunidade de examinar a hipótese em outros efeitos, sempre decidindo pela referida gratuidade (JTA 86/368). Julgado em 14-11-1984 Revista dos Tribunais, fevereiro 1985, Vol. 592 - Pág. 143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gratuidade da ação acidentária, que, em razão da natureza da lide, tem caráter alimentar, está implícita na Lei n.º 6.367/76.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2026-09-10T23:09:36.863Z</dcterms:created>
  <dcterms:modified xsi:type="dcterms:W3CDTF">2026-09-10T23:09:36.863Z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