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Julgado em: </w:t>
      </w:r>
      <w:r>
        <w:t xml:space="preserve">07/08/1984</w:t>
      </w:r>
    </w:p>
    <w:p/>
    <w:p>
      <w:r>
        <w:t xml:space="preserve">CONVENÇÃO NÃO REGISTRADA E PARTICIPANTES NÃO PROPRIETÁRIOS — SE ISTO O DESCARACTERIZA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sumaríssima de preceito cominatório promovida por um Condomínio contra o proprietário do apartamento situado no último pavimento, destinada a compelir o condômino a demolir as benfeitorias feitas na cobertura ilegalmente e que representam perigo para a segurança do prédio. - ............................................................................................................................................................... - Diz o nobre julgador do 1º Grau que o Condomínio autor não tem existência legal porque não se trata de condomínio e porque não está a Convenção registrada no registro imobiliário, conforme dispõe a Lei 4.591/64. - Não concordamos, "data venia", com essa afirmação do "decisum". O condomínio existe há muitos anos como se vê da documentação que está nos autos. A circunstância da Convenção não estar registrada, segundo exigência da lei n.º 4.591, art. 9º, § 1º, não implica na sua inexistência. - Poderá implicar na sua invalidade em relação a terceiros, mas a presente ação envolve relação interna de condomínio e, por isso, a Convenção não registrada tem plena validade. - A afirmação de que o condomínio não existe porque nenhum dos seus participantes é proprietário, no exato sentido jurídico do termo, também não é procedente. - O mesmo art. 9º da Lei 4.591/64, pondo fim a todas as incertezas que surgiram no regime anterior, declara: "Os proprietários promitentes compradores, cessionários ou promitentes cessionários dos direitos pertinentes à aquisição de unidades autônomas, em edificações a serem construídas, em construção ou já construídas, elaborarão, por escrito, a Convenção do Condomínio e devem, também, por contrato ou deliberação em a ssembléia aprovar o regimento interno da Edificação ou conjunto de Edificações". - Dessa forma, não se pode aceitar a frustração do pedido, pela razão encontrada pela sentença. Julgado em 08-08-1984 Arquivo do Ementário Forense, TA/597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o disposto no art. 9º da Lei 4.591/64 condômino, para esse efeito, é não só o "dominus" da Lei Civil, mas também o promitente comprador, cessionário ou promitente cessionário.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2026-09-10T22:10:49.385Z</dcterms:created>
  <dcterms:modified xsi:type="dcterms:W3CDTF">2026-09-10T22:10:49.385Z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