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04/09/1984</w:t>
      </w:r>
    </w:p>
    <w:p/>
    <w:p>
      <w:r>
        <w:t xml:space="preserve">APLICAÇÃO A PARTIR DA VIGÊNCIA DA LEI QUE A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Tribunal de Justiça do Estado do Rio de Janeiro, entre outros pode ser citado o Acórdão padrão da lavra do eminente Des. FELISBERTO M. R. NETO, no Recurso de Revista n.º 9.812, in Revista de Jurisprudência do TJRJ, vol. 41/82 a 85: "in verbis": "Correção monetária Recurso de Revista Divergência quanto ao modo de interpretar o direito em tese. Responsabilidade Civil. Na condenação deve ser incluída a correção monetária. Nas dívidas de valor, nesta época de inflação, ela é perfeitamente cabível. A medida já não cabe só nos casos previstos pela Lei, segundo a sábia construção dos Tribunais do País. É torrencial a jurisprudência nesse sentido. Sem a correção a indenização deixa de ser cabal e completa. Quando a dívida é de valor, não se precisa de regra jurídica de revalorização da moeda. Recurso conhecido, mas desprovido. Nessa ordem de considerações, rejeitam-se os segundos embargos". Julgado em 05-09-1984 Arquivo do Ementário Forense, TJ/1.334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Concede-se a aplicação da correção monetária a partir da vigência da Lei nº 6.899/81, mesmo que a decisão exequenda não haja concedido tal verba.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2026-09-10T22:11:20.104Z</dcterms:created>
  <dcterms:modified xsi:type="dcterms:W3CDTF">2026-09-10T22:11:20.104Z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