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ECONOMIA</w:t>
      </w:r>
    </w:p>
    <w:p>
      <w:r>
        <w:rPr>
          <w:i/>
          <w:iCs/>
          <w:color w:val="666666"/>
        </w:rPr>
        <w:t xml:space="preserve">DISTRIBUIDORA DE TÍTULOS E VALORES</w:t>
      </w:r>
    </w:p>
    <w:p/>
    <w:p>
      <w:r>
        <w:rPr>
          <w:b/>
          <w:bCs/>
        </w:rPr>
        <w:t xml:space="preserve">Julgado em: </w:t>
      </w:r>
      <w:r>
        <w:t xml:space="preserve">13/11/1984</w:t>
      </w:r>
    </w:p>
    <w:p/>
    <w:p>
      <w:r>
        <w:t xml:space="preserve">PESSOA JURÍDICA — CASA PAROQUIAL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Peca a argumentação contrária do apelante, por dizer respeito a outras alternativas previstas no mesmo dispositivo legal (para residência de descendente, ascendente ou seu cônjuge). - Quanto ao imóvel, verifica-se que se constitui um todo, de mais ou menos 5 alq., onde o réu ocupa, tão-somente, uma casa residencial, sendo o restante ocupado pela autora, com suas atividades religiosas. Nesse ponto, o pedido acha-se também, consonante com o dispositivo legal invocado. - Finalmente, a autora visa à retomada para uso de sua Casa Paroquial. A presunção de sinceridade ou de necessidade que milita em seu favor não foi ilidida pelo réu. Ao revés a autora comprovou "quantum satis" a necessidade da retomada. - Em suma, não obstante o brilho e o empenho do digno Procurador do apelante, a r. sentença merece ser confirmada. Julgado em 14-11-1984 Revista dos Tribunais. Fevereiro 1985 - Vol. 592 - Pág. 139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6.649/79, referindo-se a "uso próprio" do locador para a retomada do imóvel, não fez qualquer distinção entre pessoa física e jurídica, nem aos fins destinados pelo retomante. E onde a Lei não distingue, ao intérprete não é lícito distinguir.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2026-09-10T23:20:32.028Z</dcterms:created>
  <dcterms:modified xsi:type="dcterms:W3CDTF">2026-09-10T23:20:32.028Z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