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13/11/1984</w:t>
      </w:r>
    </w:p>
    <w:p/>
    <w:p>
      <w:r>
        <w:t xml:space="preserve">PESSOA JURÍDICA — CASA PAROQUIAL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Peca a argumentação contrária do apelante, por dizer respeito a outras alternativas previstas no mesmo dispositivo legal (para residência de descendente, ascendente ou seu cônjuge). - Quanto ao imóvel, verifica-se que se constitui um todo, de mais ou menos 5 alq., onde o réu ocupa, tão-somente, uma casa residencial, sendo o restante ocupado pela autora, com suas atividades religiosas. Nesse ponto, o pedido acha-se também, consonante com o dispositivo legal invocado. - Finalmente, a autora visa à retomada para uso de sua Casa Paroquial. A presunção de sinceridade ou de necessidade que milita em seu favor não foi ilidida pelo réu. Ao revés a autora comprovou "quantum satis" a necessidade da retomada. - Em suma, não obstante o brilho e o empenho do digno Procurador do apelante, a r. sentença merece ser confirmada. Julgado em 14-11-1984 Revista dos Tribunais. Fevereiro 1985 - Vol. 592 - Pág. 139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6.649/79, referindo-se a "uso próprio" do locador para a retomada do imóvel, não fez qualquer distinção entre pessoa física e jurídica, nem aos fins destinados pelo retomante. E onde a Lei não distingue, ao intérprete não é lícito distinguir.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2026-06-17T14:21:39.114Z</dcterms:created>
  <dcterms:modified xsi:type="dcterms:W3CDTF">2026-06-17T14:21:39.114Z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