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CONSELHO REGIONAL DE ECONOMIA</w:t>
      </w:r>
    </w:p>
    <w:p>
      <w:r>
        <w:rPr>
          <w:i/>
          <w:iCs/>
          <w:color w:val="666666"/>
        </w:rPr>
        <w:t xml:space="preserve">DISTRIBUIDORA DE TÍTULOS E VALORES</w:t>
      </w:r>
    </w:p>
    <w:p/>
    <w:p>
      <w:r>
        <w:rPr>
          <w:b/>
          <w:bCs/>
        </w:rPr>
        <w:t xml:space="preserve">Recurso: </w:t>
      </w:r>
      <w:r>
        <w:t xml:space="preserve">Ap. .</w:t>
      </w:r>
    </w:p>
    <w:p>
      <w:r>
        <w:rPr>
          <w:b/>
          <w:bCs/>
        </w:rPr>
        <w:t xml:space="preserve">Julgado em: </w:t>
      </w:r>
      <w:r>
        <w:t xml:space="preserve">19/09/1984</w:t>
      </w:r>
    </w:p>
    <w:p/>
    <w:p>
      <w:r>
        <w:t xml:space="preserve">VENDEDOR DO IMÓVEL — SE PODE EXERCER A AÇÃO A FAVOR DO COMPRADOR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... A propósito, o Tribunal de Alçada Civil de S. Paulo, na Ap. n.º 151.437, decidiu: "LOCAÇÃO - Despejo por falta de pagamento - Imóvel alienado a Terceiro. Correta a sentença que julga extinto o processo por ilegitimidade ativa, na ação de despejo por falta de pagamento movida pelo proprietário do imóvel que já o alienara a terceiro. A ação de despejo por falta de pagamento tem por objeto fundamental a retomada do imóvel locado, como corolário natural da resilição contratual e legal em causa. Esta se configura pela falta de pagamento do preço da locação, como contraprestação natural pelo uso e gozo do bem. Nem por isso, contudo, transfigura-se de motivação em objeto do pedido que é sempre o decreto do despejo do imóvel. Nem outro é o enfoque, em face da existência da purgação da mora. Quando tal ocorre, por mero favor legal, não aquiesce o locatário com o pedido; antes debela-o com a emenda, sem com isso mudar a ação de retomada para ação de cobrança". (Adcoas, 1983 verbete n.º 90.555). - Por último vale acrescentar que o julgamento antecipado da lide, a teor do art. 330, I do CPC, não constitui cerceamento de defesa, uma vez que em face da manifesta ilegitimidade do autor, o magistrado do 1º grau firmou convicção com o conjunto probatório constante dos autos e conheceu, diretamente a ação, julgando-a extinta, com base nos arts. 267, I, c/c 295, II do CPC. Julgado em 20-09-1984 Jurisprudência Catarinense. 4º Trim/84 - Vol. 46 - Pág. 205 EMFOR 440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É impossível o reconhecimento da legitimação na ação de despejo ajuizada em nome próprio, pelo vendedor do imóvel ao locatário. - Inexiste no Código Civil, e em leis especiais, inclusive na Lei do Inquilinato (Lei 6.649/79), dispositivo algum permissivo da retomada do imóvel pelo próprio vendedor em favor dos compradores.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Jurisprudência Catarinense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2026-09-10T22:11:47.989Z</dcterms:created>
  <dcterms:modified xsi:type="dcterms:W3CDTF">2026-09-10T22:11:47.989Z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