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04/09/1984</w:t>
      </w:r>
    </w:p>
    <w:p/>
    <w:p>
      <w:r>
        <w:t xml:space="preserve">QUANDO A ELAS TEM DIREITO O RÉU DE AÇÃO POSSESSÓRIA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dúvida de que ao ocupar o imóvel, o fez de boa fé, adquirido, de anterior posseiro, as referidas benfeitorias ali existentes e ali realizando outras edificações. - Assim, merece receber a devida indenização, nos termos do art. 547, 1ª parte do Código Civil. - É, entretanto, incontestável, o direito do autor, no que concerne à reintegratória, pois provados estão tanto a propriedade como a posse anterior por parte do autor conforme ressalvado na R. sentença recorrida, cujos fundamentos considera-se integrantes do presente acórdão, na forma autorizada regimentalmente. Considera-se, ainda, que é de lei e de iterativa jurisprudência, que será deferida a posse a quem evidentemente tiver o domínio, se com base neste foi disputada (art. 923 do CPC - "Súmula 487" (*) do STF). Julgado em 05-09-1984 Arquivo do Ementário Forense, TA/598 (*) "Será deferida a posse a quem, evidentemente, tiver o domínio, se com base neste for ela disputada". (EMENTÁRIO FORENSE N.º 255. t. AÇÃO POSSESSÓRIA, st. DISCUSSÃO DE DOMÍNIO).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Provado o esbulho ou turbação, impõe-se a procedência da ação possessória. Ficando caracterizado, entretanto, que o réu é possuidor de boa fé, tem ele direito à indenização pelas benfeitorias necessárias e úteis, que assim houver adquirido ou construído no imóvel.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2026-10-26T03:21:16.507Z</dcterms:created>
  <dcterms:modified xsi:type="dcterms:W3CDTF">2026-10-26T03:21:16.507Z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