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04/09/1984</w:t>
      </w:r>
    </w:p>
    <w:p/>
    <w:p>
      <w:r>
        <w:t xml:space="preserve">QUANDO A ELAS TEM DIREITO O RÉU DE AÇÃO POSSESSÓRIA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ao ocupar o imóvel, o fez de boa fé, adquirido, de anterior posseiro, as referidas benfeitorias ali existentes e ali realizando outras edificações. - Assim, merece receber a devida indenização, nos termos do art. 547, 1ª parte do Código Civil. - É, entretanto, incontestável, o direito do autor, no que concerne à reintegratória, pois provados estão tanto a propriedade como a posse anterior por parte do autor conforme ressalvado na R. sentença recorrida, cujos fundamentos considera-se integrantes do presente acórdão, na forma autorizada regimentalmente. Considera-se, ainda, que é de lei e de iterativa jurisprudência, que será deferida a posse a quem evidentemente tiver o domínio, se com base neste foi disputada (art. 923 do CPC - "Súmula 487" (*) do STF). Julgado em 05-09-1984 Arquivo do Ementário Forense, TA/598 (*) "Será deferida a posse a quem, evidentemente, tiver o domínio, se com base neste for ela disputada". (EMENTÁRIO FORENSE N.º 255. t. AÇÃO POSSESSÓRIA, st. DISCUSSÃO DE DOMÍNIO).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o esbulho ou turbação, impõe-se a procedência da ação possessória. Ficando caracterizado, entretanto, que o réu é possuidor de boa fé, tem ele direito à indenização pelas benfeitorias necessárias e úteis, que assim houver adquirido ou construído no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2026-07-28T02:01:11.762Z</dcterms:created>
  <dcterms:modified xsi:type="dcterms:W3CDTF">2026-07-28T02:01:11.762Z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