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Julgado em: </w:t>
      </w:r>
      <w:r>
        <w:t xml:space="preserve">28/11/1984</w:t>
      </w:r>
    </w:p>
    <w:p/>
    <w:p>
      <w:r>
        <w:t xml:space="preserve">DESPACHO QUE INDEFERE — AÇÃO DE DESPEJO ARQUIVADA - AGRAVO DE INSTRUMENTO E NÃO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agravo de instrumento tirado, em ação ordinária de despejo do despacho que negou recebimento à apelação interposta do indeferimento da execução, nos próprios autos, da multa por desvio de uso. - Entende a agravante que a decisão recorrida era terminativa do processo e, portanto, apelável. - O recurso é tempestivo e foi processado, sem resposta mas com despacho de sustentação. - É o relatório. - O vigente estatuto processual civil delimitou com nitidez o campo de incidência do agravo de instrumento e o fez por exclusão: tudo o que não for sentença (art. 513) ou despacho de simples ordenamento (art. 504) é agravável. - O despacho que indefere a execução da multa nos próprios autos da ação de despejo, evidentemente, não é de mero ordenamento. Logo, é irrecorrível. Mas, por outro lado, não é uma sentença, nem pode ser havido como decisão terminativa ou seja, que põe fim ao processo. O processo, aliás, já estava extinto por acordo entre as partes, tendo sido desarquivado a pedido da agravante para execução da penalidade por desvio de uso. Portanto, não é apelável o despacho que indeferiu a execução nos próprios autos. O recurso cabível era mesmo o agravo de instrumento, que não pode ser recebido, dentro do princípio da fungibilidade, por superado o qüinqüídio legal. Julgado em 29-11-1984 Revista dos Tribunais. Fevereiro 1985 - Vol. 592 - Pág. 161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despacho que indefere a execução de penalidade de desvio de uso do imóvel nos próprios autos de ação de despejo já extinta não cabe apelação, uma vez que não põe fim ao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2026-10-26T03:46:42.359Z</dcterms:created>
  <dcterms:modified xsi:type="dcterms:W3CDTF">2026-10-26T03:46:42.359Z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