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26/03/1984</w:t>
      </w:r>
    </w:p>
    <w:p/>
    <w:p>
      <w:r>
        <w:t xml:space="preserve">CONHECIMENTO — DISPOSITIVO DE LEI NÃO INDICADO - QUANDO O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Equivoca-se o agravante. O que esta Corte, por vezes, tem admitido é que, se no recurso extraordinário não consta qual a alínea do inciso III do art. 119 da Constituição Federal em que ele se funda, essa omissão não impedirá o seu exame se, da petição de interposição, ressaltar claro esse fundamento. Assim, por exemplo, se o recorrente não declara que o recurso se estriba na letra d do referido inciso, mas, afirma que o acórdão recorrido entra em divergência - que demonstra - com arestos de outros Tribunais, é possível conhecer do recurso, não obstante aquela omissão. - O que porém, não se admite é que se omitam os dispositivos legais ou constitucionais tidos como violados pelo acórdão recorrido. E, no caso, os §§ 2º, 20 e 22 do art. 153 da CP não foram aludidos na petição de interposição do recurso extraordinário. Julgado em 27-03-1984 Revista Trimestral de Jurisprudência. Dezembro 1984 - Vol. 110 - Pág. 1.101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indispensável que, na petição de recurso extraordinário, se declarem expressamente os artigos de lei ou da Constituição que se reputam ofendidos.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2026-10-26T05:56:21.381Z</dcterms:created>
  <dcterms:modified xsi:type="dcterms:W3CDTF">2026-10-26T05:56:21.381Z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