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ACESSÕES POSTERIORES À PROMESSA</w:t>
      </w:r>
    </w:p>
    <w:p/>
    <w:p>
      <w:r>
        <w:rPr>
          <w:b/>
          <w:bCs/>
        </w:rPr>
        <w:t xml:space="preserve">Recurso: </w:t>
      </w:r>
      <w:r>
        <w:t xml:space="preserve">REsp 59.261/</w:t>
      </w:r>
    </w:p>
    <w:p/>
    <w:p>
      <w:r>
        <w:t xml:space="preserve">SOMA DE PRAZOS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anotado no relatório, a controvérsia deduzida no presente apelo nobre tem como ponto nodal a compreensão do alcance da regra inscrita no inc. II do art. 51 da Lei 8.245/91, no que tange ao requisito da "accessio temporis" que viabiliza o exercício da ação renovatória de locação comercial. - Veja-se o desenho normativo: "Art. 51. (...) II - o prazo mínimo do contrato a renovar ou a soma dos prazos ininterruptos dos contratos escritos seja de cinco anos". - O Tribunal de origem, conferindo interpretação restritiva ao comando da norma, ainda que tenha reconhecido o lapso de sete meses entre os contratos locatícios, proclamou que tal postura não revela o intuito do locador em obstar a renovação compulsória. - Sustenta o locatário, por sua vez, que o exíguo intervalo de tempo entre os contratos estritos celebrados não é prejudicial à acessão de tempo para fins de perfazimento do qüinqüídio autorizador da renovatória. - Tenho que tal entendimento reflete a correta exegese acerca da questão. - Com efeito, esta C. Corte, em reiterados julgados, tem reconhecido que, em sede de ação renovatória de locação comercial, se o período de interrupção entre a celebração dos contratos escritos não é significativo, é de se admitir o accessio temporis pela soma de seus prazos, a fim de viabilizar a pretensão renovatória pelo perfazimento do qüinqüídio legal exigido. - A propósito, é oportuno transcrever os seguintes precedentes afirmativos desse entendimento, "in verbis": "Locação comercial renovatória. "Accessio temporis". Prazo. I - A jurisprudência tem admitido a accessio temporis quando entre os dois pactos medeia um prazo breve indicador das tratativas para a celebração do novo contrato e não quando este se alonga por cerca de um ano. II - Tratando-se de ação proposta já na vigência da Lei 8.245/91, não é de se admitir-se a soma de contratos escritos por prazo determinado, se entre eles tenha ocorrido uma avença verbal de prazo indeterminado não superior a trinta dias. Quem pretende renovar contrato, hoje, deve acautelar-se nas tratativas da imediata renovação" (REsp 59.261/RJ, rel. Min. Jesus Costa Lima, DJ 29.05.1995). "Locação. Lei de luvas. Renovatória. "Accessio temporis". É admissível a acessão de tempo para perfazimento do qüinqüênio de locação ensejador da renovatória, se diminuto o interregno entre os contratos escritos. Recurso especial atendido. Maioria" (REsp 7.842/SP, rel. Min. Fontes de Alencar, DJ 14.12.1992). "Locação comercial. Ação renovatória. Acessão de tempo. Processual civil. Documento. Juntada. Cópia de acórdão. Art. 398 do CPC. Recurso não conhecido. Sendo significativa a interrupção entre os contratos escritos e descabido o accessio temporis para viabilizar o perfazimento do prazo mínimo legal, exigido na lei de luvas para o renovamento da locação, conforme a jurisprudência pacífica desta Corte. É pacífico o entendimento pretoriano no sentido de que o vocábulo ‘documento’, constante do art. 398, não abrange simples cópia de acórdão acostada aos autos para reforçar determinada tese jurídica. Recurso especial não conhecido" (REsp 11.630/PR, rel. Min. César Asfor Rocha, DJ 27.10.1997). - Assim sendo, na espécie, tendo transcorrido apenas sete meses entre o último contrato escrito e o contrato renovando, ambos com prazo de quatro anos, é de reconhecer o perfazimento do prazo de carência de cinco anos que viabiliza a renovatória, pela soma ininterrupta dos prazos contratuais. - Em face dessas considerações, tenho que a questão já não comporta maiores debates, não tendo o acórdão recorrido aplicado o melhor direito à espécie. - Ante o exposto, conheço e dou provimento ao recurso especial, para negar provimento ao agravo de instrumento, mantendo a decisão que afastou a alegação de carência de ação. Ac. de 09-03-1999 DJ de 05-04-1999 Revista dos Tribunais, setembro de 1999, vol. 767, pág. 205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sede de ação renovatória de locação comercial, se o período de interrupção entre a celebração dos contratos escritos não é significativo, é de se admitir o "accessio temporis" pela soma de seus prazos, a fim de viabilizar a pretensão renovatória pelo perfazimento do qüinqüídio legal exigido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2026-10-26T04:22:59.884Z</dcterms:created>
  <dcterms:modified xsi:type="dcterms:W3CDTF">2026-10-26T04:22:59.884Z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