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DA HABITAÇÃO</w:t>
      </w:r>
    </w:p>
    <w:p>
      <w:r>
        <w:rPr>
          <w:i/>
          <w:iCs/>
          <w:color w:val="666666"/>
        </w:rPr>
        <w:t xml:space="preserve">COMPETÊNCIA</w:t>
      </w:r>
    </w:p>
    <w:p/>
    <w:p>
      <w:r>
        <w:rPr>
          <w:b/>
          <w:bCs/>
        </w:rPr>
        <w:t xml:space="preserve">Recurso: </w:t>
      </w:r>
      <w:r>
        <w:t xml:space="preserve">5037100-75.2025.4.04.0000/TRF4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25/05/2026</w:t>
      </w:r>
    </w:p>
    <w:p/>
    <w:p>
      <w:r>
        <w:t xml:space="preserve">Trata-se de recurso especial interposto, com fundamento no artigo 105, inciso III, alíneas 'a' e 'c', da Constituição Federal, contra acórdão desta Corte, assim ementado: DIREITO PROCESSUAL CIVIL E DIREITO CIVIL.</w:t>
      </w:r>
    </w:p>
    <w:p/>
    <w:p>
      <w:pPr>
        <w:pStyle w:val="Heading2"/>
      </w:pPr>
      <w:r>
        <w:rPr>
          <w:b/>
          <w:bCs/>
        </w:rPr>
        <w:t xml:space="preserve">Resumo</w:t>
      </w:r>
    </w:p>
    <w:p>
      <w:r>
        <w:t xml:space="preserve">Recurso especial contra acórdão que reconheceu parcial incompetência da Justiça Federal em ação de cobertura de seguro habitacional. O TRF4 reformou parcialmente a decisão para determinar nova manifestação da CEF quanto a uma autora que comprovou vínculo com o imóvel, mantendo a incompetência federal para os demais autores. O STF pacificou a matéria fixando que a competência federal existe quando há apólice pública com interesse da CEF, devendo haver deslocamento do feito quando a empresa manifestar interesse na causa.</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PROCESSUAL CIVIL E DIREITO CIVIL. AGRAVO DE INSTRUMENTO. COMPETÊNCIA DA JUSTIÇA FEDERAL. SEGURO HABITACIONAL. PARCIAL PROVIMENTO DO RECURSO.</w:t>
      </w:r>
    </w:p>
    <w:p>
      <w:r>
        <w:t xml:space="preserve">I — CASO EM EXAME: 1. Agravo de instrumento interposto contra decisão interlocutória que reconheceu a parcial incompetência da Justiça Federal e determinou a cisão do processo e a remessa parcial dos autos à Justiça Estadual em ação de cobertura securitária.</w:t>
      </w:r>
    </w:p>
    <w:p>
      <w:r>
        <w:t xml:space="preserve">II — QUESTÃO EM DISCUSSÃO: 2. A questão em discussão consiste em saber se a Justiça Federal é competente para julgar a demanda de cobertura securitária em relação aos autores F. A. Z. V., N.</w:t>
      </w:r>
    </w:p>
    <w:p>
      <w:r>
        <w:t xml:space="preserve">I — G., Neusa Pinto Bitencourt, K. C. S. B. e Elda Juraci Cliss, considerando a comprovação de seu vínculo com o imóvel e o interesse da Caixa Econômica Federal (CEF).</w:t>
      </w:r>
    </w:p>
    <w:p>
      <w:r>
        <w:t xml:space="preserve">III — RAZÕES DE DECIDIR: 3. A decisão agravada merece parcial reforma quanto à autora F. A. Z. V., pois a afirmação da CEF de que a autora não comprovou a propriedade do bem ou relação com apólice de seguro habitacional contraria a prova documental constante do evento 3, PROCJUDIC2, fl. 30, onde a autora consta como adquirente do imóvel. Determina-se, pois, a intimação da CEF para nova manifestação acerca de seu interesse na lide em relação à autora F. A. Z. V..</w:t>
      </w:r>
    </w:p>
    <w:p>
      <w:r>
        <w:t xml:space="preserve">4. Mantém-se a decisão de incompetência da Justiça Federal para os autores N.</w:t>
      </w:r>
    </w:p>
    <w:p>
      <w:r>
        <w:t xml:space="preserve">I — G., Neusa Pinto Bitencourt, K. C. S. B. e Elda Juraci Cliss, uma vez que a CEF não manifestou interesse na lide e não há indícios de que as apólices correlatas sejam de ramo público (66), tendo os imóveis sido adquiridos sem financiamento habitacional.</w:t>
      </w:r>
    </w:p>
    <w:p>
      <w:r>
        <w:t xml:space="preserve">IV — DISPOSITIVO: 5. Agravo de instrumento parcialmente provido. (TRF4, AGRAVO DE INSTRUMENTO Nº 5037100-75.2025.4.04.0000, 3ª Turma, Desembargador Federal ROGER RAUPP RIOS, POR UNANIMIDADE, JUNTADO AOS AUTOS EM 10/02/2026)</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Foram apresentadas contrarrazões.</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 tema n.º 1.011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2026-06-05T09:04:44.068Z</dcterms:created>
  <dcterms:modified xsi:type="dcterms:W3CDTF">2026-06-05T09:04:44.068Z</dcterms:modified>
</cp:coreProperties>
</file>

<file path=docProps/custom.xml><?xml version="1.0" encoding="utf-8"?>
<Properties xmlns="http://schemas.openxmlformats.org/officeDocument/2006/custom-properties" xmlns:vt="http://schemas.openxmlformats.org/officeDocument/2006/docPropsVTypes"/>
</file>