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CORREÇÃO MONETÁRIA</w:t>
      </w:r>
    </w:p>
    <w:p>
      <w:r>
        <w:rPr>
          <w:i/>
          <w:iCs/>
          <w:color w:val="666666"/>
        </w:rPr>
        <w:t xml:space="preserve">CAUSAS PENDENTES DE JULGAMENTO</w:t>
      </w:r>
    </w:p>
    <w:p/>
    <w:p>
      <w:r>
        <w:rPr>
          <w:b/>
          <w:bCs/>
        </w:rPr>
        <w:t xml:space="preserve">Recurso: </w:t>
      </w:r>
      <w:r>
        <w:t xml:space="preserve">5000462-96.2010.4.04.7104/TRF4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Carlos Eduardo Thompson Flores Lenz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Vistos e relatados estes autos em que são partes as acima indicadas, a Egrégia 4ª Turma do Tribunal Regional Federal da 4ª Região decidiu, por unanimidade, negar provimento à apelação do Ministério Público Federal e, de ofício, adequar a fl…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do MPF em condenação por ato ilícito. A 4ª Turma do TRF4 negou provimento ao recurso e adequou, de ofício, os juros de mora e correção monetária conforme jurisprudência pacificada do STJ e Emenda Constitucional 113, mantendo a condenação com nova fluência dos encargos.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4ª Turma do Tribunal Regional Federal da 4ª Região decidiu, por unanimidade, negar provimento à apelação do Ministério Público Federal e, de ofício, adequar a fluência dos juros de mora e correção monetária incidentes sobre os valores da condenação (multa civil e ressarcimento) aos Temas 905 e 1.128, ambos do STJ e da Emenda Constitucional n.º 113,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2026-06-05T10:28:18.012Z</dcterms:created>
  <dcterms:modified xsi:type="dcterms:W3CDTF">2026-06-05T10:28:18.012Z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