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APOSENTADORIA ESPECIAL</w:t>
      </w:r>
    </w:p>
    <w:p/>
    <w:p>
      <w:r>
        <w:rPr>
          <w:b/>
          <w:bCs/>
        </w:rPr>
        <w:t xml:space="preserve">Recurso: </w:t>
      </w:r>
      <w:r>
        <w:t xml:space="preserve">5006399-13.2022.4.04.7122/TRF4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AndrÉIa Castro Dias Moreira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Vistos e relatados estes autos em que são partes as acima indicadas, a Egrégia 6ª Turma do Tribunal Regional Federal da 4ª Região decidiu, por unanimidade, dar parcial provimento à apelação da parte autora e, de ofício, extinguir o feito, s…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de servidor público contra negativa de reconhecimento de atividade especial para fins previdenciários. A 6ª Turma do TRF4 deu parcial provimento ao recurso, mas extinguiu o processo sem análise de mérito quanto ao período de fevereiro/1998 a abril/2001, com consequente redistribuição das despesas processuais.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6ª Turma do Tribunal Regional Federal da 4ª Região decidiu, por unanimidade, dar parcial provimento à apelação da parte autora e, de ofício, extinguir o feito, sem resolução de mérito, quanto ao pedido de reconhecimento do exercício de atividade especial no período de 10/02/1998 a 18/04/2001, com fundamento no artigo 485, IV, do CPC, e ajustar os consectários de sucumbência,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2026-06-05T09:07:20.544Z</dcterms:created>
  <dcterms:modified xsi:type="dcterms:W3CDTF">2026-06-05T09:07:20.544Z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