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SOCIAL</w:t>
      </w:r>
    </w:p>
    <w:p>
      <w:r>
        <w:rPr>
          <w:i/>
          <w:iCs/>
          <w:color w:val="666666"/>
        </w:rPr>
        <w:t xml:space="preserve">APOSENTADORIA ESPECIAL</w:t>
      </w:r>
    </w:p>
    <w:p/>
    <w:p>
      <w:r>
        <w:rPr>
          <w:b/>
          <w:bCs/>
        </w:rPr>
        <w:t xml:space="preserve">Recurso: </w:t>
      </w:r>
      <w:r>
        <w:t xml:space="preserve">5000980-25.2021.4.04.7129/TRF4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 "a", da Constituição Federal, contra acórdão desta Corte, assim ementado: PREVIDENCIÁRIO.</w:t>
      </w:r>
    </w:p>
    <w:p/>
    <w:p>
      <w:pPr>
        <w:pStyle w:val="Heading2"/>
      </w:pPr>
      <w:r>
        <w:rPr>
          <w:b/>
          <w:bCs/>
        </w:rPr>
        <w:t xml:space="preserve">Resumo</w:t>
      </w:r>
    </w:p>
    <w:p>
      <w:r>
        <w:t xml:space="preserve">Recurso especial contra concessão de aposentadoria especial por exposição a agentes químicos. O STJ reafirmou que a presença de EPI no PPP não descaracteriza automaticamente o tempo especial, cabendo ao segurado comprovar sua ineficácia ou inadequação; mantida a aposentadoria especial com exigência de afastamento da atividade nociva conforme jurisprudência consolidada.</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PREVIDENCIÁRIO. ATIVIDADE ESPECIAL. AGENTES QUÍMICOS. CONCESSÃO DE APOSENTADORIA ESPECIAL. NECESSIDADE DE AFASTAMENTO DA ATIVIDADE ESPECIAL. ART. 57, § 8.º DA LEI 8.213/1991. CONCESSÃO DE APOSENTADORIA POR TEMPO DE CONTRIBUIÇÃO. TUTELA ESPECÍFICA. . A exposição a agentes químicos enseja o reconhecimento do tempo de serviço como especial, sendo desnecessária a análise quantitativa de concentração ou intensidade desses agentes químicos no ambiente de trabalho, dado que são caracterizados pela avaliação qualitativa. . Apresentada a prova necessária a demonstrar o exercício de atividade sujeita a condições especiais, conforme a legislação vigente na data da prestação do trabalho, o respectivo tempo de serviço especial deve ser reconhecido. . Cumprida a carência e demonstrado o exercício de atividades em condições especiais que prejudiquem a saúde ou a integridade física durante o período exigido pela legislação, é devida à parte autora a concessão de aposentadoria especial. . No julgamento do RE 791.961/PR, Tema 709 da repercussão geral, o STF reconheceu a constitucionalidade do § 8.º do art. 57 da Lei 8.213/1991, que veda a percepção do benefício de aposentadoria especial pelo segurado que continuar exercendo atividade nociva, ou a ela retornar. A Corte ainda estabeleceu que, nas hipóteses em que o trabalhador continua a exercer o labor especial após a solicitação da aposentadoria, a data de início do benefício e os efeitos financeiros da concessão serão devidos desde a DER. Dessa forma, somente após a implantação do benefício, seja na via administrativa, seja na via judicial, torna-se exigível o desligamento da atividade nociva, sendo que o retorno voluntário ao trabalho nocivo ou a sua continuidade não implicará a cassação ou cancelamento da aposentadoria, mas sim a cessação de seu pagamento, a ser promovida mediante devido processo legal, incumbindo ao INSS, na via administrativa, oportunizar ao segurado prazo para que regularize a situação. . Preenchidos os requisitos de tempo de contribuição e carência até a promulgação da Emenda Constitucional 103/2019, é devida à parte autora a concessão de aposentadoria por tempo de contribuição. . Determina-se o cumprimento imediato do acórdão, por se tratar de decisão de eficácia mandamental que deverá ser efetivada mediante as atividades de cumprimento da sentença stricto sensu previstas no art. 497 do CPC/15, sem a necessidade de um processo executivo autônomo (sine intervallo). (TRF4, APELAÇÃO CÍVEL Nº 5000980-25.2021.4.04.7129, 6ª Turma, Desembargador Federal RICARDO TEIXEIRA DO VALLE PEREIRA, POR UNANIMIDADE, JUNTADO AOS AUTOS EM 13/10/2023)</w:t>
      </w:r>
    </w:p>
    <w:p>
      <w:r>
        <w:t xml:space="preserve">A decisão foi mantida em sede de embargos de declaração.</w:t>
      </w:r>
    </w:p>
    <w:p>
      <w:r>
        <w:t xml:space="preserve">Em suas razões recursais, o(a)(s) recorrente(s) alegou(aram) que o acórdão violou o(s) dispositivo(s) legal(is)/constitucional(is) ali indicado(s).</w:t>
      </w:r>
    </w:p>
    <w:p>
      <w:r>
        <w:t xml:space="preserve">Foram apresentadas contrarrazões.</w:t>
      </w:r>
    </w:p>
    <w:p>
      <w:r>
        <w:t xml:space="preserve">É o relatório. Decido.</w:t>
      </w:r>
    </w:p>
    <w:p>
      <w:r>
        <w:t xml:space="preserve">O recurso especial versa sobre controvérsia já submetida à apreciação do Superior Tribunal de Justiça na sistemática de recursos repetitivos, com a consolidação de tese(s) jurídica(s) nos seguintes termos:</w:t>
      </w:r>
    </w:p>
    <w:p>
      <w:r>
        <w:t xml:space="preserve">Tema STJ 1090 -</w:t>
      </w:r>
    </w:p>
    <w:p>
      <w:r>
        <w:t xml:space="preserve">I — A informação no Perfil Profissiográfico Previdenciário (PPP) sobre a existência de equipamento de proteção individual (EPI) descaracteriza, em princípio, o tempo especial, ressalvadas as hipóteses excepcionais nas quais, mesmo diante da comprovada proteção, o direito à contagem especial é reconhecido.</w:t>
      </w:r>
    </w:p>
    <w:p>
      <w:r>
        <w:t xml:space="preserve">II — Incumbe ao autor da ação previdenciária o ônus de comprovar: (i) a ausência de adequação ao risco da atividade; (ii) a inexistência ou irregularidade do certificado de conformidade; (iii) o descumprimento das normas de manutenção, substituição e higienização; (iv) a ausência ou insuficiência de orientação e treinamento sobre o uso adequado, guarda e conservação; ou (v) qualquer outro motivo capaz de conduzir à conclusão da ineficácia do EPI.</w:t>
      </w:r>
    </w:p>
    <w:p>
      <w:r>
        <w:t xml:space="preserve">III — Se a valoração da prova concluir pela presença de divergência ou de dúvida sobre a real eficácia do EPI, a conclusão deverá ser favorável ao autor.</w:t>
      </w:r>
    </w:p>
    <w:p>
      <w:r>
        <w:t xml:space="preserve">A decisão proferida por este Tribunal está em consonância com essa orientação jurisprudencial, de caráter vinculante.</w:t>
      </w:r>
    </w:p>
    <w:p>
      <w:r>
        <w:t xml:space="preserve">Por essa razão, deve ser negado seguimento ao recurso especial, com fundamento nos artigos 1.030, inciso I, e 1.040, inciso I, ambos do Código de Processo Civil.</w:t>
      </w:r>
    </w:p>
    <w:p>
      <w:r>
        <w:t xml:space="preserve">Ante o exposto, nego seguimento ao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2026-06-05T10:26:05.415Z</dcterms:created>
  <dcterms:modified xsi:type="dcterms:W3CDTF">2026-06-05T10:26:05.415Z</dcterms:modified>
</cp:coreProperties>
</file>

<file path=docProps/custom.xml><?xml version="1.0" encoding="utf-8"?>
<Properties xmlns="http://schemas.openxmlformats.org/officeDocument/2006/custom-properties" xmlns:vt="http://schemas.openxmlformats.org/officeDocument/2006/docPropsVTypes"/>
</file>