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REINTEGRAÇÃO DE POSSE</w:t>
      </w:r>
    </w:p>
    <w:p>
      <w:r>
        <w:rPr>
          <w:i/>
          <w:iCs/>
          <w:color w:val="666666"/>
        </w:rPr>
        <w:t xml:space="preserve">ESBULHO</w:t>
      </w:r>
    </w:p>
    <w:p/>
    <w:p>
      <w:r>
        <w:rPr>
          <w:b/>
          <w:bCs/>
        </w:rPr>
        <w:t xml:space="preserve">Recurso: </w:t>
      </w:r>
      <w:r>
        <w:t xml:space="preserve">5047760-18.2018.4.04.7100/TRF4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Vivian Josete PantaleÃO Caminha</w:t>
      </w:r>
    </w:p>
    <w:p>
      <w:r>
        <w:rPr>
          <w:b/>
          <w:bCs/>
        </w:rPr>
        <w:t xml:space="preserve">Julgado em: </w:t>
      </w:r>
      <w:r>
        <w:t xml:space="preserve">29/05/2026</w:t>
      </w:r>
    </w:p>
    <w:p/>
    <w:p>
      <w:r>
        <w:t xml:space="preserve">Trata-se de recurso especial interposto, com fundamento no artigo 105, inciso III, alínea 'a', da Constituição Federal, contra acórdão desta Corte, assim ementado: ADMINISTRATIVO.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contra decisão que manteve reintegração de posse de área da União ocupada irregularmente em Mostardas/RS, sob administração da Marinha. O tribunal rejeitou argumentos de proteção ambiental, definindo o litígio como possessório e não ambiental, atribuindo à União a responsabilidade pela desocupação. Recurso admitido por preenchimento dos requisitos constitucionais.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interposto, com fundamento no artigo 105, inciso III, alínea 'a', da Constituição Federal, contra acórdão desta Corte, assim ementado:</w:t>
      </w:r>
    </w:p>
    <w:p>
      <w:r>
        <w:t xml:space="preserve">ADMINISTRATIVO. REINTEGRAÇÃO DE POSSE. ÁREA PERTENCENTE Á UNIÃO. ESBULHO COMPROVADO. RESPONSABILIDADE DO MUNICÍPIO.</w:t>
      </w:r>
    </w:p>
    <w:p>
      <w:r>
        <w:t xml:space="preserve">1.</w:t>
      </w:r>
    </w:p>
    <w:p>
      <w:r>
        <w:t xml:space="preserve">Conforme a prova dos autos, restou comprovado o esbulho possessório, com a ocupação indevida de área de propriedade da União.</w:t>
      </w:r>
    </w:p>
    <w:p>
      <w:r>
        <w:t xml:space="preserve">2. Caso em que se cuida de reintegração de posse de área de proteção ambiental, um imóvel de propriedade da União, sob a administração e responsabilidade da Marinha do Brasil (Farol da Solidão no Município de Mostardas). Destarte, embora seja área de proteção ambiental, o cerne da demanda é a reintegração de posse e não discussão sobre dano ambiental. Logo, as normas jurídicas que estabelecem ao município o dever de tutela ambiental não incidem no caso concreto.</w:t>
      </w:r>
    </w:p>
    <w:p>
      <w:r>
        <w:t xml:space="preserve">3. Sinale-se que tramita Ação Civil Pública nº 5066065-50.2018.4.04.7100/RS (processo físico nº 2009.71.00034288-5), proposta pelo Ministério Público Federal em face do Município de Mostardas/RS, a qual visa à cessação de dano ecológico e à proteção de áreas de preservação permanente localizadas na zona costeira do Município de Mostardas/RS, que são propriedade da União em decorrência da ocupação irregular.</w:t>
      </w:r>
    </w:p>
    <w:p>
      <w:r>
        <w:t xml:space="preserve">4. No caso sub judice cabe à União a responsabilidade para fornecer os meios necessários à implementação da reintegração de posse e a remoção das construções. (TRF4, APELAÇÃO CÍVEL Nº 5047760-18.2018.4.04.7100, 4ª Turma, Desembargador Federal MARCOS ROBERTO ARAUJO DOS SANTOS, POR UNANIMIDADE, JUNTADO AOS AUTOS EM 12/03/2025)</w:t>
      </w:r>
    </w:p>
    <w:p>
      <w:r>
        <w:t xml:space="preserve">A decisão foi mantida em sede de embargos de declaração.</w:t>
      </w:r>
    </w:p>
    <w:p>
      <w:r>
        <w:t xml:space="preserve">Em suas razões recursais, o(a)(s) recorrente(s) alegou(aram) que o acórdão violou o(s) dispositivo(s) legal(is) ali indicado(s).</w:t>
      </w:r>
    </w:p>
    <w:p>
      <w:r>
        <w:t xml:space="preserve">Foram apresentadas contrarrazões.</w:t>
      </w:r>
    </w:p>
    <w:p>
      <w:r>
        <w:t xml:space="preserve">É o relatório. Decido.</w:t>
      </w:r>
    </w:p>
    <w:p>
      <w:r>
        <w:t xml:space="preserve">O recurso especial preenche os requisitos de admissibilidade, com o devido prequestionamento do(s) dispositivo(s) legal(is) supostamente contrariado(s).</w:t>
      </w:r>
    </w:p>
    <w:p>
      <w:r>
        <w:t xml:space="preserve">Ante o exposto, admito o recurso especial.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2026-06-05T11:51:01.950Z</dcterms:created>
  <dcterms:modified xsi:type="dcterms:W3CDTF">2026-06-05T11:51:01.950Z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