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POR TEMPO DE SERVIÇO</w:t>
      </w:r>
    </w:p>
    <w:p/>
    <w:p>
      <w:r>
        <w:rPr>
          <w:b/>
          <w:bCs/>
        </w:rPr>
        <w:t xml:space="preserve">Recurso: </w:t>
      </w:r>
      <w:r>
        <w:t xml:space="preserve">5047450-36.2023.4.04.7100/TRF4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PREVIDENCIÁRIO.</w:t>
      </w:r>
    </w:p>
    <w:p/>
    <w:p>
      <w:pPr>
        <w:pStyle w:val="Heading2"/>
      </w:pPr>
      <w:r>
        <w:rPr>
          <w:b/>
          <w:bCs/>
        </w:rPr>
        <w:t xml:space="preserve">Resumo</w:t>
      </w:r>
    </w:p>
    <w:p>
      <w:r>
        <w:t xml:space="preserve">Recurso Especial contra decisão que aplicou obrigatoriamente a regra de transição do artigo 3º da Lei 9.876/1999 na revisão de aposentadoria. O STF superou sua jurisprudência anterior (Tema 1102), fixando que segurados filiados ao RGPS antes de 26.11.1999 têm direito de optar pela regra definitiva se mais favorável. Negado provimento ao recurso, mantendo-se a possibilidade de opção entre as regras.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PREVIDENCIÁRIO. PROCESSO CIVIL. REVISÃO DE APOSENTADORIA POR TEMPO DE CONTRIBUIÇÃO. "REVISÃO DA VIDA TODA". APLICAÇÃO COGENTE DA REGRA DE TRANSIÇÃO VEICULADA NO ARTIGO 3º DA LEI 9.876. SUPERAÇÃO DA TESE FIXADA PARA O TEMA 1102 DO STF. É cogente a aplicação da regra de transição prevista no artigo 3º da Lei 9.876 aos segurados filiados ao Regimento Geral da Previdência Social até o dia anterior à publicação daquele diploma legal, em observância ao que decidiu o Supremo Tribunal Federal no julgamento conjunto da ADI 2110 e da ADI 2111, inclusive, mediante a apreciação de embargos de declaração. As decisões proferidas em controle abstrato de constitucionalidade importaram na superação da orientação fixada pela Corte Suprema relativamente ao Tema 1102. (TRF4, APELAÇÃO CÍVEL Nº 5047450-36.2023.4.04.7100, 5ª Turma, Juiz Federal ÉZIO TEIXEIRA, POR UNANIMIDADE, JUNTADO AOS AUTOS EM 17/04/2026)</w:t>
      </w:r>
    </w:p>
    <w:p>
      <w:r>
        <w:t xml:space="preserve">Em suas razões recursais, o(a)(s) recorrente(s) alegou(aram) que o acórdão violou o(s) dispositivo(s) legais/constitucional(is)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2026-06-05T09:05:25.165Z</dcterms:created>
  <dcterms:modified xsi:type="dcterms:W3CDTF">2026-06-05T09:05:25.165Z</dcterms:modified>
</cp:coreProperties>
</file>

<file path=docProps/custom.xml><?xml version="1.0" encoding="utf-8"?>
<Properties xmlns="http://schemas.openxmlformats.org/officeDocument/2006/custom-properties" xmlns:vt="http://schemas.openxmlformats.org/officeDocument/2006/docPropsVTypes"/>
</file>