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EXAME DO MÉRITO</w:t>
      </w:r>
    </w:p>
    <w:p/>
    <w:p>
      <w:r>
        <w:rPr>
          <w:b/>
          <w:bCs/>
        </w:rPr>
        <w:t xml:space="preserve">Recurso: </w:t>
      </w:r>
      <w:r>
        <w:t xml:space="preserve">5056602-11.2023.4.04.7100/TRF4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extraordinário interposto, com fundamento no artigo 102, inciso III, alínea 'a', da Constituição Federal, contra acórdão desta Corte, assim ementado: DIREITO PREVIDENCIÁRIO.</w:t>
      </w:r>
    </w:p>
    <w:p/>
    <w:p>
      <w:pPr>
        <w:pStyle w:val="Heading2"/>
      </w:pPr>
      <w:r>
        <w:rPr>
          <w:b/>
          <w:bCs/>
        </w:rPr>
        <w:t xml:space="preserve">Resumo</w:t>
      </w:r>
    </w:p>
    <w:p>
      <w:r>
        <w:t xml:space="preserve">Recurso extraordinário contra acórdão que negou revisão de benefício previdenciário. O tribunal manteve a aplicação da regra de transição do artigo 3º da Lei 9.876/09, declarada constitucional pelo STF nas ADIs 2110 e 2111, afastando a possibilidade de opção pela regra permanente do artigo 29 da Lei 8.213/91. Recurso desprovido, consolidando que não há direito à escolha da regra mais favorável.</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PREVIDENCIÁRIO. APELAÇÃO CÍVEL. REVISÃO DE BENEFÍCIO PREVIDENCIÁRIO. REGRA DE TRANSIÇÃO DO ART. 3º DA LEI 9.876/09. CONSTITUCIONALIDADE RECONHECIDA PELO STF NAS ADIS 2110 E 2111. SUPERIORIDADE SOBRE O TEMA 1102 DO STF. IMPOSSIBILIDADE DE OPÇÃO PELA REGRA PERMANENTE DO ART. 29, I, DA LEI 8.213/91. RECURSO DESPROVIDO.</w:t>
      </w:r>
    </w:p>
    <w:p>
      <w:r>
        <w:t xml:space="preserve">I — CASO EM EXAME:1. Apelação cível interposta contra sentença que indeferiu pedido revisional de benefício previdenciário, fundamentando-se no entendimento do Supremo Tribunal Federal (STF) acerca da constitucionalidade da regra de transição prevista no artigo 3º da Lei 9.876/09, conforme julgamento das ADIs nº 2110 e 2111.</w:t>
      </w:r>
    </w:p>
    <w:p>
      <w:r>
        <w:t xml:space="preserve">II — QUESTÃO EM DISCUSSÃO:1. A questão em discussão consiste em verificar a possibilidade de aplicação da regra permanente prevista no artigo 29, I, da Lei 8.213/91, em substituição à regra de transição do artigo 3º da Lei 9.876/09, diante do julgamento do STF nas ADIs 2110 e 2111 e da controvérsia suscitada pelo Tema 1102 do STF.</w:t>
      </w:r>
    </w:p>
    <w:p>
      <w:r>
        <w:t xml:space="preserve">III — RAZÕES DE DECIDIR:1. O STF, em sessão extraordinária realizada em 21/03/2024, declarou a constitucionalidade da regra de transição do artigo 3º da Lei 9.876/09, reconhecendo que a ampliação do período básico de cálculo dos benefícios está dentro da competência legislativa e confere maior fidedignidade à média das contribuições.2. O julgamento das ADIs 2110 e 2111 superou material e temporalmente a tese fixada no Tema 1102 do STF, afastando a possibilidade de escolha pela regra permanente do artigo 29, I, da Lei 8.213/91.3. Embargos de declaração opostos no âmbito das referidas ADIs foram rejeitados ou desprovidos, consolidando o entendimento de que não há opção para os segurados quanto à regra mais favorável para cálculo do benefício.4. Eventuais custas e honorários de sucumbência ou perícias deverão observar o trânsito em julgado da ADI 2.111, conforme decisão do Ministro Nunes Marques em 10/04/2025.5. A decisão recorrida está em consonância com o entendimento atual do STF, não havendo que se falar em direito à revisão pela regra permanente.</w:t>
      </w:r>
    </w:p>
    <w:p>
      <w:r>
        <w:t xml:space="preserve">IV — DISPOSITIVO E TESE:1. Recurso desprovido.Tese de julgamento: 1. A regra de transição prevista no artigo 3º da Lei 9.876/09, declarada constitucional pelo STF nas ADIs 2110 e 2111, prevalece sobre a tese do Tema 1102, não sendo possível a opção pela regra permanente do artigo 29, I, da Lei 8.213/91 para cálculo do benefício previdenciário. ___________Dispositivos relevantes citados: Lei 8.213/1991, art. 29, I; Lei 9.876/1999, art. 3º; CPC/2015, art. 1.025.Jurisprudência relevante citada: STF, ADI 2110 e 2111, Pleno, julgamento em 21/03/2024; STF, Tema 1102; Decisão do Ministro Nunes Marques, Embargos de Declaração na ADI 2.111, 10/04/2025. (TRF4, APELAÇÃO CÍVEL Nº 5056602-11.2023.4.04.7100, 6ª Turma, Juíza Federal ADRIANE BATTISTI, POR UNANIMIDADE, JUNTADO AOS AUTOS EM 27/04/2026)</w:t>
      </w:r>
    </w:p>
    <w:p>
      <w:r>
        <w:t xml:space="preserve">Em suas razões recursais, o(a)(s) recorrente(s) alegou(aram) que o acórdão violou o(s) dispositivo(s) 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2026-06-05T09:05:24.333Z</dcterms:created>
  <dcterms:modified xsi:type="dcterms:W3CDTF">2026-06-05T09:05:24.333Z</dcterms:modified>
</cp:coreProperties>
</file>

<file path=docProps/custom.xml><?xml version="1.0" encoding="utf-8"?>
<Properties xmlns="http://schemas.openxmlformats.org/officeDocument/2006/custom-properties" xmlns:vt="http://schemas.openxmlformats.org/officeDocument/2006/docPropsVTypes"/>
</file>