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AÇÃO MONITÓRIA</w:t>
      </w:r>
    </w:p>
    <w:p>
      <w:r>
        <w:rPr>
          <w:i/>
          <w:iCs/>
          <w:color w:val="666666"/>
        </w:rPr>
        <w:t xml:space="preserve">CITAÇÃO EDITAL</w:t>
      </w:r>
    </w:p>
    <w:p/>
    <w:p>
      <w:r>
        <w:rPr>
          <w:b/>
          <w:bCs/>
        </w:rPr>
        <w:t xml:space="preserve">Recurso: </w:t>
      </w:r>
      <w:r>
        <w:t xml:space="preserve">08131625620214058200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Paulo Roberto De Oliveira Lima</w:t>
      </w:r>
    </w:p>
    <w:p>
      <w:r>
        <w:rPr>
          <w:b/>
          <w:bCs/>
        </w:rPr>
        <w:t xml:space="preserve">Julgado em: </w:t>
      </w:r>
      <w:r>
        <w:t xml:space="preserve">18/08/2025</w:t>
      </w:r>
    </w:p>
    <w:p/>
    <w:p>
      <w:r>
        <w:t xml:space="preserve">CIVIL. PROCESSUAL CIVIL. AÇÃO MONITÓRIA. EMBARGOS MONITÓRIOS. CONTRATOS DE CDC, CARTÃO DE CRÉDITO E RELACIONAMENTO.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Apelação em ação monitória da Caixa Econômica Federal contra embargos de devedor. A corte manteve a sentença que validou a citação por edital após esgotamento de diligências ordinárias, rejeitou inépcia da inicial por suficiência de documentação contratual e extratos, dispensou perícia contábil e reconheceu a legalidade da capitalização mensal de juros em contrato bancário posterior à MP nº 1.963-17/00, improvendo os embargos.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CIVIL. PROCESSUAL CIVIL. AÇÃO MONITÓRIA. EMBARGOS MONITÓRIOS. CONTRATOS DE CDC, CARTÃO DE CRÉDITO E RELACIONAMENTO. CITAÇÃO POR EDITAL. VALIDADE CONFIGURADA. ESGOTAMENTO RAZOÁVEL DAS DILIGÊNCIAS. AUSÊNCIA DE NULIDADE. INÉPCIA DA INICIAL. DOCUMENTAÇÃO COMPLETA. DESNECESSIDADE DE PROVA PERICIAL. CAPITALIZAÇÃO DE JUROS. LEGALIDADE. CLÁUSULAS ABUSIVAS. ALEGAÇÃO GENÉRICA. IMPROVIMENTO.</w:t>
      </w:r>
    </w:p>
    <w:p>
      <w:r>
        <w:t xml:space="preserve">Trata-se de apelação interposta por Robson Fonseca Furtado, representado pela Defensoria Pública da União, contra sentença que rejeitou os embargos opostos à ação monitória ajuizada pela Caixa Econômica Federal, na qual se objetiva a constituição de título executivo judicial referente a valores oriundos de contratos bancários de empréstimos, cartão de crédito e relacionamento, no montante de R$ 45.276,76; A defesa recursal sustenta a nulidade da citação por edital, alegando ausência de esgotamento dos meios ordinários de localização do réu. Afirma, ainda, a inépcia da inicial por ausência de documentos essenciais, requer produção de prova pericial contábil, impugna a capitalização de juros e alega a existência de cláusulas abusivas. Em suma, a sentença recorrida entendeu pela regularidade da citação ficta, à luz do art. 256, II e § 3º, do CPC, bem como pela suficiência da documentação que instrui a exordial para a constituição de título executivo, rejeitando as alegações de inépcia, excesso de cobrança e necessidade de perícia. No tocante à alegada nulidade da citação por edital, verifica-se que foram realizadas tentativas de citação pessoal nos endereços constantes nos sistemas INFOJUD, SERASAJUD e SNIPER, bem como diligência no endereço informado na inicial, todas infrutíferas. Ausente comunicação de mudança de domicílio pelo réu, presume-se que se encontra em local incerto ou ignorado, legitimando-se, assim, a citação por edital; Portanto, não há que se falar em nulidade do ato de citação por edital, visto que a utilização desta via, no processo monitório, deu-se em momento posterior à tentativa frustrada da citação pessoal. Nesse sentido: PROCESSO: 08043065220164058500, APELAÇÃO CÍVEL, DESEMBARGADOR FEDERAL PAULO ROBERTO DE OLIVEIRA LIMA, 2ª TURMA, JULGAMENTO: 20/06/2023. Quanto à preliminar de inépcia da inicial, verifica-se que a exordial foi instruída com contrato de relacionamento, contrato de cheque especial, faturas de cartão de crédito, extratos bancários e demonstrativos de débitos, contendo valores, datas, taxas de juros e números contratuais. Além disso, convém ressaltar o teor da Súmula 247 do Superior Tribunal de Justiça acerca do assunto: "STJ - Súmula 247: O contrato de abertura de crédito em conta-corrente, acompanhado do demonstrativo de débito, constitui documento hábil para o ajuizamento da ação monitória.'' Assim, a rejeição de tal preliminar é medida que se impõe; Adentrando ao mérito apelatório, quanto à alegação de necessidade de realização de perícia contábil, afigura-se completamente despicienda, visto que as planilhas, extratos e cálculos a respeito da dívida em comento apresentados pela Caixa contêm informações detalhadas e parametrizadas acerca de sua elaboração, não havendo necessidade de aferição por meio de análise técnica; Ademais, tem-se que o STJ, no julgamento do recurso especial representativo da controvérsia nº 1.061.530/RS, de relatoria da Ministra Nancy Andrighi, pacificou o entendimento segundo o qual, nos contratos de mútuo bancário, celebrados após a edição da MP nº 1.963-17/00 (reeditada sob o nº 2.170-36/01), admite-se a capitalização mensal de juros, desde que expressamente pactuada. No caso concreto, o negócio jurídico foi pactuado posteriormente à edição da Medida Provisória nº 1.963-17/00, sendo, portanto, admitida a capitalização mensal dos juros remuneratórios, razão pela qual não há qualquer ilegalidade. Observa-se que os juros compostos não remuneram tão-somente a instituição bancária, sendo também adotados para todas as modalidades de aplicações periódicas de recursos do correntista, como cadernetas de poupança, fundos de investimentos em renda fixa, fundos de previdência e outros. Logo, se a cobrança de juros compostos fosse irregular, haveria ilegalidade em todas as remunerações de aplicações bancárias feitas pela população em geral, o que, obviamente, não ocorre; Com relação ao pedido de revisão das cláusulas abusivas, a sentença vergastada não merece qualquer retoque, posto que não demonstrada qualquer abusividade, tratando-se de alegação genérica, desprovida de qualquer embasamento jurídico, não sendo apontada sequer quais seriam. Sobre o ponto, colaciono o seguinte julgado: PROCESSO: 08021989020194058000, APELAÇÃO CÍVEL, DESEMBARGADOR FEDERAL PAULO ROBERTO DE OLIVEIRA LIMA, 2ª TURMA, JULGAMENTO: 03/10/2023; Apelação improvida. dca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2026-06-05T07:38:24.192Z</dcterms:created>
  <dcterms:modified xsi:type="dcterms:W3CDTF">2026-06-05T07:38:24.192Z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