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POSSESSÓRIA</w:t>
      </w:r>
    </w:p>
    <w:p>
      <w:r>
        <w:rPr>
          <w:i/>
          <w:iCs/>
          <w:color w:val="666666"/>
        </w:rPr>
        <w:t xml:space="preserve">EXCEÇÃO DE DOMÍNIO</w:t>
      </w:r>
    </w:p>
    <w:p/>
    <w:p>
      <w:r>
        <w:rPr>
          <w:b/>
          <w:bCs/>
        </w:rPr>
        <w:t xml:space="preserve">Recurso: </w:t>
      </w:r>
      <w:r>
        <w:t xml:space="preserve">08106822820254050000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Gisele Chaves Sampaio Alcantara</w:t>
      </w:r>
    </w:p>
    <w:p>
      <w:r>
        <w:rPr>
          <w:b/>
          <w:bCs/>
        </w:rPr>
        <w:t xml:space="preserve">Julgado em: </w:t>
      </w:r>
      <w:r>
        <w:t xml:space="preserve">18/08/2025</w:t>
      </w:r>
    </w:p>
    <w:p/>
    <w:p>
      <w:r>
        <w:t xml:space="preserve">DIREITO CIVIL E PROCESSUAL CIVIL. AÇÃO POSSESSÓRIA. ESTABILIZAÇÃO DA DEMANDA. IMPOSSIBILIDADE DE AMPLIAÇÃO POSTERIOR DA CAUSA DE PEDIR E DO PEDIDO PARA ABRANGER A CONSIGNAÇÃO EM PAGAMENTO DOS FOROS EM ATRASO E QUESTIONAMENTOS SOBRE A REGULA…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 ação possessória (reintegração de posse), não é possível ampliar o objeto da demanda para incluir suspensão de processo administrativo de caducidade de aforamento ou consignação de foros em atraso, vedado pelo princípio da estabilização da demanda. Como o domínio útil se extingue com a caducidade do aforamento, não subsiste fundamento para proteção possessória, devendo tais questões ser discutidas em ação própria com cognição plena. Recurso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 E PROCESSUAL CIVIL. AÇÃO POSSESSÓRIA. ESTABILIZAÇÃO DA DEMANDA. IMPOSSIBILIDADE DE AMPLIAÇÃO POSTERIOR DA CAUSA DE PEDIR E DO PEDIDO PARA ABRANGER A CONSIGNAÇÃO EM PAGAMENTO DOS FOROS EM ATRASO E QUESTIONAMENTOS SOBRE A REGULARIDADE FORMAL DO PROCESSO DE CADUCIDADE DO AFORAMENTO. LIMITAÇÃO OBJETIVA DA COGNIÇÃO NAS AÇÕES POSSESSÓRIAS. SÚMULA 487 DO STF. DOMÍNIO ÚTIL INEXISTENTE POR CADUCIDADE. PROTEÇÃO POSSESSÓRIA INVIÁVEL. RECURSO PROVIDO. </w:t>
      </w:r>
    </w:p>
    <w:p>
      <w:r>
        <w:t xml:space="preserve">I — CASO EM EXAME </w:t>
      </w:r>
    </w:p>
    <w:p>
      <w:r>
        <w:t xml:space="preserve">Agravo interposto contra decisão que, em ação originalmente ajuizada como interdito proibitório e convertida em reintegração de posse, deferiu tutela provisória para suspender processo administrativo de extinção por caducidade de aforamento e oportunizar o pagamento dos foros em atraso, com vistas à possível revigoração do contrato, impedindo nova destinação ao bem antes da conclusão do procedimento. </w:t>
      </w:r>
    </w:p>
    <w:p>
      <w:r>
        <w:t xml:space="preserve">II — QUESTÃO EM DISCUSSÃO </w:t>
      </w:r>
    </w:p>
    <w:p>
      <w:r>
        <w:t xml:space="preserve">Há duas questões em discussão: (i) definir se é possível, em ação possessória (reintegração de posse), ampliar o objeto da demanda para incluir a suspensão de processo administrativo de caducidade de aforamento e seu eventual revigoramento; (ii) verificar se o domínio útil decorrente do aforamento caducado pode fundamentar a proteção possessória. </w:t>
      </w:r>
    </w:p>
    <w:p>
      <w:r>
        <w:t xml:space="preserve">III — RAZÕES DE DECIDIR </w:t>
      </w:r>
    </w:p>
    <w:p>
      <w:r>
        <w:t xml:space="preserve">O princípio da estabilização da demanda (CPC, art. 329) impede a modificação do pedido ou da causa de pedir após a citação, sem o consentimento do réu, não sendo admissível a inclusão, no curso da ação possessória, de pretensões relativas à regularidade formal de procedimento administrativo de caducidade ou à revigoração do aforamento. A consignação em pagamento (CPC, arts. 539 e seguintes) é ação autônoma, com procedimento especial, que não pode ser manejada incidentalmente para ampliar o objeto de ação possessória. Questões atinentes à validade do procedimento de caducidade do aforamento ou à possibilidade de seu restabelecimento devem ser discutidas em ação própria, com ampla instrução probatória e pleno contraditório. As ações possessórias possuem cognição limitada, restringindo-se à análise da posse, sendo vedada a exceção de domínio, salvo quando ambas as partes litigam com fundamento na propriedade (Súmula 487 do STF). O domínio útil não subsiste quando declarada a caducidade do aforamento por inadimplemento dos foros (Decreto-Lei nº 9.760/46, art. 101, parágrafo único), não sendo possível deferir proteção possessória fundada em direito extinto. </w:t>
      </w:r>
    </w:p>
    <w:p>
      <w:r>
        <w:t xml:space="preserve">IV — DISPOSITIVO E TESE </w:t>
      </w:r>
    </w:p>
    <w:p>
      <w:r>
        <w:t xml:space="preserve">Recurso provido. </w:t>
      </w:r>
    </w:p>
    <w:p>
      <w:r>
        <w:t xml:space="preserve">Dispositivos relevantes citados: CPC, arts. 329, 539, 554 e 561; Decreto-Lei nº 9.760/46, arts. 101, parágrafo único, e 120.</w:t>
      </w:r>
    </w:p>
    <w:p>
      <w:r>
        <w:t xml:space="preserve">Jurisprudência relevante citada: STF, Súmula nº 487.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2026-06-05T10:46:31.085Z</dcterms:created>
  <dcterms:modified xsi:type="dcterms:W3CDTF">2026-06-05T10:46:31.085Z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