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GRATIFICAÇÃO - GCET</w:t>
      </w:r>
    </w:p>
    <w:p/>
    <w:p>
      <w:r>
        <w:rPr>
          <w:b/>
          <w:bCs/>
        </w:rPr>
        <w:t xml:space="preserve">Recurso: </w:t>
      </w:r>
      <w:r>
        <w:t xml:space="preserve">08112105620184058100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Edilson Pereira Nobre Junior</w:t>
      </w:r>
    </w:p>
    <w:p>
      <w:r>
        <w:rPr>
          <w:b/>
          <w:bCs/>
        </w:rPr>
        <w:t xml:space="preserve">Julgado em: </w:t>
      </w:r>
      <w:r>
        <w:t xml:space="preserve">01/07/2019</w:t>
      </w:r>
    </w:p>
    <w:p/>
    <w:p>
      <w:r>
        <w:t xml:space="preserve">PROCESSO CIVIL. EXECUÇÃO. TÍTULO EXECUTIVO JUDICIAL. AÇÃO COLETIVA. PRESCRIÇÃO. FGTS.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Execução de sentença coletiva sobre reajuste de FGTS. A apelação foi improvida por aplicação do prazo prescricional quinquenal das ações coletivas: como o título transitou em julgado em outubro de 2004 e a execução foi proposta apenas em julho de 2017, transcorreram mais de 12 anos, caracterizando a prescrição.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CIVIL. EXECUÇÃO. TÍTULO EXECUTIVO JUDICIAL. AÇÃO COLETIVA. PRESCRIÇÃO. FGTS. REAJUSTE. PRAZO QUINQUENAL. APELAÇÃO IMPROVIDA.</w:t>
      </w:r>
    </w:p>
    <w:p>
      <w:r>
        <w:t xml:space="preserve">1. Narram os autos que o título judicial foi emanado da ação coletiva nº 0003507-16.1995.4.05.8100, que tramitou na 1ª Vara da Seção Judiciária do Ceará, promovida pelo MPF em face da Caixa Econômica Federal - CEF, sendo reconhecido naquela oportunidade o direito ao titular de conta de FGTS de reajuste do saldo de sua conta nos termos fixados no título judicial transitado em julgado.</w:t>
      </w:r>
    </w:p>
    <w:p>
      <w:r>
        <w:t xml:space="preserve">2. Hipótese em que o e. Superior Tribunal de Justiça tem assentado que, em se tratando de execução individual de sentença proferida em ação coletiva, o beneficiário se insere em um microssistema diverso e com regras pertinentes (Leis nº 4.717/65; 7.347/85 e 8.078/90), sendo imperiosa a observância do prazo próprio das ações coletivas, que é quinquenal, nos termos do precedente firmado no REsp nº 1.070.896/SC, aplicando-se a Súmula nº 150/STF. Ressalvado o posicionamento do Relator.</w:t>
      </w:r>
    </w:p>
    <w:p>
      <w:r>
        <w:t xml:space="preserve">3. Aliás, não se pode perder de vista a orientação sedimentada pelo Superior Tribunal de Justiça, em sede de recurso repetitivo, no sentido de que "No âmbito do Direito Privado, é de cinco anos o prazo prescricional para ajuizamento da execução individual em pedido de cumprimento de sentença proferida em Ação Civil Pública" (REsp 1273643/PR, Rel. Ministro SIDNEI BENETI, SEGUNDA SEÇÃO, julgado em 27/02/2013, DJe 04/04/2013).</w:t>
      </w:r>
    </w:p>
    <w:p>
      <w:r>
        <w:t xml:space="preserve">4. Nesse pórtico, volvendo o olhar para o presente caso, constata-se que a ação de conhecimento transitou em julgado em 13 de outubro de 2004. Como o exequente apenas ingressou com a fase de cumprimento de sentença em julho de 2017, ou seja, decorridos mais de 12 anos do trânsito em julgado do título judicial, revela-se inequívoca a fluência do lustro prescricional.</w:t>
      </w:r>
    </w:p>
    <w:p>
      <w:r>
        <w:t xml:space="preserve">5. Apelação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2026-06-05T10:48:58.513Z</dcterms:created>
  <dcterms:modified xsi:type="dcterms:W3CDTF">2026-06-05T10:48:58.513Z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